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4292" w:type="dxa"/>
        <w:tblInd w:w="18" w:type="dxa"/>
        <w:tblLook w:val="04A0" w:firstRow="1" w:lastRow="0" w:firstColumn="1" w:lastColumn="0" w:noHBand="0" w:noVBand="1"/>
      </w:tblPr>
      <w:tblGrid>
        <w:gridCol w:w="553"/>
        <w:gridCol w:w="5369"/>
        <w:gridCol w:w="3330"/>
        <w:gridCol w:w="1800"/>
        <w:gridCol w:w="3240"/>
      </w:tblGrid>
      <w:tr w:rsidR="000242EE" w:rsidRPr="00E51E13" w14:paraId="1408FC50" w14:textId="77777777" w:rsidTr="000242EE">
        <w:trPr>
          <w:trHeight w:val="651"/>
        </w:trPr>
        <w:tc>
          <w:tcPr>
            <w:tcW w:w="553" w:type="dxa"/>
            <w:tcBorders>
              <w:top w:val="nil"/>
              <w:left w:val="nil"/>
              <w:bottom w:val="single" w:sz="4" w:space="0" w:color="auto"/>
              <w:right w:val="nil"/>
            </w:tcBorders>
            <w:shd w:val="clear" w:color="auto" w:fill="auto"/>
            <w:noWrap/>
            <w:vAlign w:val="bottom"/>
            <w:hideMark/>
          </w:tcPr>
          <w:p w14:paraId="2605106D" w14:textId="77777777" w:rsidR="000242EE" w:rsidRPr="00E51E13" w:rsidRDefault="000242EE" w:rsidP="00E51E13">
            <w:pPr>
              <w:spacing w:after="0" w:line="240" w:lineRule="auto"/>
              <w:rPr>
                <w:rFonts w:ascii="Calibri" w:eastAsia="Times New Roman" w:hAnsi="Calibri" w:cs="Times New Roman"/>
                <w:b/>
                <w:bCs/>
                <w:color w:val="000000"/>
                <w:sz w:val="18"/>
                <w:szCs w:val="18"/>
              </w:rPr>
            </w:pPr>
          </w:p>
        </w:tc>
        <w:tc>
          <w:tcPr>
            <w:tcW w:w="5369" w:type="dxa"/>
            <w:tcBorders>
              <w:top w:val="nil"/>
              <w:left w:val="nil"/>
              <w:bottom w:val="single" w:sz="4" w:space="0" w:color="auto"/>
              <w:right w:val="nil"/>
            </w:tcBorders>
            <w:shd w:val="clear" w:color="auto" w:fill="auto"/>
            <w:noWrap/>
            <w:vAlign w:val="bottom"/>
            <w:hideMark/>
          </w:tcPr>
          <w:p w14:paraId="2B53E3B7" w14:textId="77777777" w:rsidR="000242EE" w:rsidRPr="00E51E13" w:rsidRDefault="000242EE" w:rsidP="00E51E13">
            <w:pPr>
              <w:spacing w:after="0" w:line="240" w:lineRule="auto"/>
              <w:jc w:val="center"/>
              <w:rPr>
                <w:rFonts w:ascii="Calibri" w:eastAsia="Times New Roman" w:hAnsi="Calibri" w:cs="Times New Roman"/>
                <w:b/>
                <w:bCs/>
                <w:color w:val="000000"/>
                <w:sz w:val="18"/>
                <w:szCs w:val="18"/>
              </w:rPr>
            </w:pPr>
            <w:r w:rsidRPr="00E51E13">
              <w:rPr>
                <w:rFonts w:ascii="Calibri" w:eastAsia="Times New Roman" w:hAnsi="Calibri" w:cs="Times New Roman"/>
                <w:b/>
                <w:bCs/>
                <w:color w:val="000000"/>
                <w:sz w:val="18"/>
                <w:szCs w:val="18"/>
              </w:rPr>
              <w:t xml:space="preserve"> </w:t>
            </w:r>
          </w:p>
        </w:tc>
        <w:tc>
          <w:tcPr>
            <w:tcW w:w="3330" w:type="dxa"/>
            <w:tcBorders>
              <w:top w:val="single" w:sz="8" w:space="0" w:color="auto"/>
              <w:left w:val="single" w:sz="8" w:space="0" w:color="auto"/>
              <w:bottom w:val="single" w:sz="4" w:space="0" w:color="auto"/>
              <w:right w:val="single" w:sz="4" w:space="0" w:color="auto"/>
            </w:tcBorders>
            <w:shd w:val="clear" w:color="000000" w:fill="F2DCDB"/>
            <w:vAlign w:val="center"/>
            <w:hideMark/>
          </w:tcPr>
          <w:p w14:paraId="4C53AD36" w14:textId="77777777" w:rsidR="000242EE" w:rsidRPr="00E51E13" w:rsidRDefault="000242EE" w:rsidP="00E51E13">
            <w:pPr>
              <w:spacing w:after="0" w:line="240" w:lineRule="auto"/>
              <w:jc w:val="center"/>
              <w:rPr>
                <w:rFonts w:ascii="Calibri" w:eastAsia="Times New Roman" w:hAnsi="Calibri" w:cs="Times New Roman"/>
                <w:b/>
                <w:bCs/>
                <w:color w:val="000000"/>
              </w:rPr>
            </w:pPr>
            <w:r w:rsidRPr="00E51E13">
              <w:rPr>
                <w:rFonts w:ascii="Calibri" w:eastAsia="Times New Roman" w:hAnsi="Calibri" w:cs="Times New Roman"/>
                <w:b/>
                <w:bCs/>
                <w:color w:val="000000"/>
              </w:rPr>
              <w:t>Estimated Cost of Implementation</w:t>
            </w:r>
          </w:p>
        </w:tc>
        <w:tc>
          <w:tcPr>
            <w:tcW w:w="1800" w:type="dxa"/>
            <w:tcBorders>
              <w:top w:val="single" w:sz="8" w:space="0" w:color="auto"/>
              <w:left w:val="nil"/>
              <w:bottom w:val="single" w:sz="4" w:space="0" w:color="auto"/>
              <w:right w:val="single" w:sz="4" w:space="0" w:color="auto"/>
            </w:tcBorders>
            <w:shd w:val="clear" w:color="000000" w:fill="E4DFEC"/>
            <w:vAlign w:val="center"/>
            <w:hideMark/>
          </w:tcPr>
          <w:p w14:paraId="4128C044" w14:textId="77777777" w:rsidR="000242EE" w:rsidRPr="00E51E13" w:rsidRDefault="000242EE" w:rsidP="00E51E13">
            <w:pPr>
              <w:spacing w:after="0" w:line="240" w:lineRule="auto"/>
              <w:jc w:val="center"/>
              <w:rPr>
                <w:rFonts w:ascii="Calibri" w:eastAsia="Times New Roman" w:hAnsi="Calibri" w:cs="Times New Roman"/>
                <w:b/>
                <w:bCs/>
                <w:color w:val="000000"/>
              </w:rPr>
            </w:pPr>
            <w:r w:rsidRPr="00E51E13">
              <w:rPr>
                <w:rFonts w:ascii="Calibri" w:eastAsia="Times New Roman" w:hAnsi="Calibri" w:cs="Times New Roman"/>
                <w:b/>
                <w:bCs/>
                <w:color w:val="000000"/>
              </w:rPr>
              <w:t>Estimated Rate Impact</w:t>
            </w:r>
          </w:p>
        </w:tc>
        <w:tc>
          <w:tcPr>
            <w:tcW w:w="3240" w:type="dxa"/>
            <w:tcBorders>
              <w:top w:val="single" w:sz="8" w:space="0" w:color="auto"/>
              <w:left w:val="nil"/>
              <w:bottom w:val="single" w:sz="4" w:space="0" w:color="auto"/>
              <w:right w:val="single" w:sz="4" w:space="0" w:color="auto"/>
            </w:tcBorders>
            <w:shd w:val="clear" w:color="000000" w:fill="DAEEF3"/>
            <w:vAlign w:val="center"/>
            <w:hideMark/>
          </w:tcPr>
          <w:p w14:paraId="5364CDC3" w14:textId="77777777" w:rsidR="000242EE" w:rsidRPr="00E51E13" w:rsidRDefault="000242EE" w:rsidP="00336EFA">
            <w:pPr>
              <w:spacing w:after="0" w:line="240" w:lineRule="auto"/>
              <w:jc w:val="center"/>
              <w:rPr>
                <w:rFonts w:ascii="Calibri" w:eastAsia="Times New Roman" w:hAnsi="Calibri" w:cs="Times New Roman"/>
                <w:b/>
                <w:bCs/>
                <w:color w:val="000000"/>
              </w:rPr>
            </w:pPr>
            <w:r w:rsidRPr="00E51E13">
              <w:rPr>
                <w:rFonts w:ascii="Calibri" w:eastAsia="Times New Roman" w:hAnsi="Calibri" w:cs="Times New Roman"/>
                <w:b/>
                <w:bCs/>
                <w:color w:val="000000"/>
              </w:rPr>
              <w:t>Penalties / Other  Potential Cost Impacts</w:t>
            </w:r>
          </w:p>
        </w:tc>
      </w:tr>
      <w:tr w:rsidR="000242EE" w:rsidRPr="00E51E13" w14:paraId="73557358" w14:textId="77777777" w:rsidTr="000242EE">
        <w:trPr>
          <w:trHeight w:val="1655"/>
        </w:trPr>
        <w:tc>
          <w:tcPr>
            <w:tcW w:w="553" w:type="dxa"/>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textDirection w:val="btLr"/>
          </w:tcPr>
          <w:p w14:paraId="39451A92" w14:textId="541E07A6" w:rsidR="000242EE" w:rsidRPr="00E51E13" w:rsidRDefault="000242EE" w:rsidP="00FB38AB">
            <w:pPr>
              <w:spacing w:after="0" w:line="240" w:lineRule="auto"/>
              <w:jc w:val="center"/>
              <w:rPr>
                <w:rFonts w:ascii="Calibri" w:eastAsia="Times New Roman" w:hAnsi="Calibri" w:cs="Times New Roman"/>
                <w:b/>
                <w:bCs/>
                <w:color w:val="000000"/>
              </w:rPr>
            </w:pPr>
            <w:r w:rsidRPr="00E51E13">
              <w:rPr>
                <w:rFonts w:ascii="Calibri" w:eastAsia="Times New Roman" w:hAnsi="Calibri" w:cs="Times New Roman"/>
                <w:b/>
                <w:bCs/>
                <w:color w:val="000000"/>
              </w:rPr>
              <w:t>Climate Change / Greenhouse Gas (GHG) Emissions Reduction</w:t>
            </w:r>
          </w:p>
        </w:tc>
        <w:tc>
          <w:tcPr>
            <w:tcW w:w="5369" w:type="dxa"/>
            <w:tcBorders>
              <w:top w:val="single" w:sz="4" w:space="0" w:color="auto"/>
              <w:left w:val="single" w:sz="4" w:space="0" w:color="auto"/>
              <w:bottom w:val="single" w:sz="4" w:space="0" w:color="auto"/>
              <w:right w:val="single" w:sz="4" w:space="0" w:color="auto"/>
            </w:tcBorders>
            <w:shd w:val="clear" w:color="auto" w:fill="auto"/>
            <w:vAlign w:val="center"/>
          </w:tcPr>
          <w:p w14:paraId="172B7D38" w14:textId="77777777" w:rsidR="000242EE" w:rsidRDefault="000242EE" w:rsidP="00FB38AB">
            <w:pPr>
              <w:shd w:val="clear" w:color="auto" w:fill="FFFFFF"/>
              <w:spacing w:before="168" w:after="120" w:line="240" w:lineRule="auto"/>
              <w:textAlignment w:val="baseline"/>
              <w:outlineLvl w:val="0"/>
              <w:rPr>
                <w:rFonts w:cstheme="minorHAnsi"/>
                <w:b/>
                <w:bCs/>
                <w:i/>
                <w:iCs/>
                <w:sz w:val="20"/>
                <w:szCs w:val="20"/>
                <w:shd w:val="clear" w:color="auto" w:fill="FFFFFF"/>
              </w:rPr>
            </w:pPr>
          </w:p>
          <w:p w14:paraId="5AF8CFF9" w14:textId="77777777" w:rsidR="000242EE" w:rsidRDefault="000242EE" w:rsidP="00FB38AB">
            <w:pPr>
              <w:shd w:val="clear" w:color="auto" w:fill="FFFFFF"/>
              <w:spacing w:before="168" w:after="120" w:line="240" w:lineRule="auto"/>
              <w:textAlignment w:val="baseline"/>
              <w:outlineLvl w:val="0"/>
              <w:rPr>
                <w:rFonts w:cstheme="minorHAnsi"/>
                <w:b/>
                <w:bCs/>
                <w:i/>
                <w:iCs/>
                <w:sz w:val="20"/>
                <w:szCs w:val="20"/>
                <w:shd w:val="clear" w:color="auto" w:fill="FFFFFF"/>
              </w:rPr>
            </w:pPr>
          </w:p>
          <w:p w14:paraId="18A31F33" w14:textId="086EA137" w:rsidR="000242EE" w:rsidRDefault="000242EE" w:rsidP="00FB38AB">
            <w:pPr>
              <w:shd w:val="clear" w:color="auto" w:fill="FFFFFF"/>
              <w:spacing w:before="168" w:after="120" w:line="240" w:lineRule="auto"/>
              <w:textAlignment w:val="baseline"/>
              <w:outlineLvl w:val="0"/>
              <w:rPr>
                <w:rFonts w:cstheme="minorHAnsi"/>
                <w:sz w:val="20"/>
                <w:szCs w:val="20"/>
                <w:shd w:val="clear" w:color="auto" w:fill="FFFFFF"/>
              </w:rPr>
            </w:pPr>
            <w:r w:rsidRPr="00DA384F">
              <w:rPr>
                <w:rFonts w:cstheme="minorHAnsi"/>
                <w:b/>
                <w:bCs/>
                <w:i/>
                <w:iCs/>
                <w:sz w:val="20"/>
                <w:szCs w:val="20"/>
                <w:shd w:val="clear" w:color="auto" w:fill="FFFFFF"/>
              </w:rPr>
              <w:t xml:space="preserve">Advanced Clean Fleets Regulation AND AB 1594 (2023):  </w:t>
            </w:r>
            <w:r w:rsidRPr="00DA384F">
              <w:rPr>
                <w:rFonts w:cstheme="minorHAnsi"/>
                <w:sz w:val="20"/>
                <w:szCs w:val="20"/>
                <w:shd w:val="clear" w:color="auto" w:fill="FFFFFF"/>
              </w:rPr>
              <w:t xml:space="preserve">Advanced Clean Fleets regulation and related legislation set targets for all public and private fleets to be Zero Emission Vehicles </w:t>
            </w:r>
            <w:r>
              <w:rPr>
                <w:rFonts w:cstheme="minorHAnsi"/>
                <w:sz w:val="20"/>
                <w:szCs w:val="20"/>
                <w:shd w:val="clear" w:color="auto" w:fill="FFFFFF"/>
              </w:rPr>
              <w:t xml:space="preserve">(ZEV) </w:t>
            </w:r>
            <w:r w:rsidRPr="00DA384F">
              <w:rPr>
                <w:rFonts w:cstheme="minorHAnsi"/>
                <w:sz w:val="20"/>
                <w:szCs w:val="20"/>
                <w:shd w:val="clear" w:color="auto" w:fill="FFFFFF"/>
              </w:rPr>
              <w:t>by 2027. Related legislation provides a narrow exception for public utilities related to medium- and heavy-duty vehicles.</w:t>
            </w:r>
          </w:p>
          <w:p w14:paraId="5159785A" w14:textId="77777777" w:rsidR="000242EE" w:rsidRDefault="000242EE" w:rsidP="00FB38AB">
            <w:pPr>
              <w:spacing w:after="0"/>
              <w:rPr>
                <w:b/>
                <w:i/>
                <w:sz w:val="20"/>
                <w:szCs w:val="20"/>
              </w:rPr>
            </w:pPr>
          </w:p>
          <w:p w14:paraId="7FEE8CAE" w14:textId="77777777" w:rsidR="000242EE" w:rsidRDefault="000242EE" w:rsidP="00FB38AB">
            <w:pPr>
              <w:spacing w:after="0"/>
              <w:rPr>
                <w:b/>
                <w:i/>
                <w:sz w:val="20"/>
                <w:szCs w:val="20"/>
              </w:rPr>
            </w:pPr>
          </w:p>
          <w:p w14:paraId="2B191E58" w14:textId="77777777" w:rsidR="000242EE" w:rsidRPr="002E622F" w:rsidRDefault="000242EE" w:rsidP="00FB38AB">
            <w:pPr>
              <w:spacing w:after="0"/>
              <w:rPr>
                <w:b/>
                <w:i/>
                <w:sz w:val="20"/>
                <w:szCs w:val="20"/>
              </w:rPr>
            </w:pPr>
          </w:p>
        </w:tc>
        <w:tc>
          <w:tcPr>
            <w:tcW w:w="3330" w:type="dxa"/>
            <w:tcBorders>
              <w:top w:val="single" w:sz="4" w:space="0" w:color="auto"/>
              <w:left w:val="single" w:sz="4" w:space="0" w:color="auto"/>
              <w:bottom w:val="single" w:sz="4" w:space="0" w:color="auto"/>
              <w:right w:val="single" w:sz="4" w:space="0" w:color="auto"/>
            </w:tcBorders>
            <w:shd w:val="clear" w:color="auto" w:fill="auto"/>
            <w:vAlign w:val="center"/>
          </w:tcPr>
          <w:p w14:paraId="44F0AFE8" w14:textId="77777777" w:rsidR="000242EE" w:rsidRPr="00647AE6" w:rsidRDefault="000242EE" w:rsidP="00FB38AB">
            <w:pPr>
              <w:spacing w:after="0" w:line="240" w:lineRule="auto"/>
              <w:rPr>
                <w:rFonts w:ascii="Calibri" w:eastAsia="Times New Roman" w:hAnsi="Calibri" w:cs="Times New Roman"/>
                <w:i/>
                <w:iCs/>
                <w:sz w:val="20"/>
                <w:szCs w:val="20"/>
              </w:rPr>
            </w:pPr>
            <w:r w:rsidRPr="00647AE6">
              <w:rPr>
                <w:rFonts w:ascii="Calibri" w:eastAsia="Times New Roman" w:hAnsi="Calibri" w:cs="Times New Roman"/>
                <w:i/>
                <w:iCs/>
                <w:sz w:val="20"/>
                <w:szCs w:val="20"/>
              </w:rPr>
              <w:t>Annual increase</w:t>
            </w:r>
            <w:r>
              <w:rPr>
                <w:rFonts w:ascii="Calibri" w:eastAsia="Times New Roman" w:hAnsi="Calibri" w:cs="Times New Roman"/>
                <w:i/>
                <w:iCs/>
                <w:sz w:val="20"/>
                <w:szCs w:val="20"/>
              </w:rPr>
              <w:t xml:space="preserve"> in cost to replace APU vehicles of all types with ZEV: </w:t>
            </w:r>
            <w:r w:rsidRPr="00647AE6">
              <w:rPr>
                <w:rFonts w:ascii="Calibri" w:eastAsia="Times New Roman" w:hAnsi="Calibri" w:cs="Times New Roman"/>
                <w:i/>
                <w:iCs/>
                <w:sz w:val="20"/>
                <w:szCs w:val="20"/>
              </w:rPr>
              <w:t>$</w:t>
            </w:r>
            <w:r>
              <w:rPr>
                <w:rFonts w:ascii="Calibri" w:eastAsia="Times New Roman" w:hAnsi="Calibri" w:cs="Times New Roman"/>
                <w:i/>
                <w:iCs/>
                <w:sz w:val="20"/>
                <w:szCs w:val="20"/>
              </w:rPr>
              <w:t>1,075</w:t>
            </w:r>
            <w:r w:rsidRPr="00647AE6">
              <w:rPr>
                <w:rFonts w:ascii="Calibri" w:eastAsia="Times New Roman" w:hAnsi="Calibri" w:cs="Times New Roman"/>
                <w:i/>
                <w:iCs/>
                <w:sz w:val="20"/>
                <w:szCs w:val="20"/>
              </w:rPr>
              <w:t xml:space="preserve">,000 </w:t>
            </w:r>
          </w:p>
          <w:p w14:paraId="609942F4" w14:textId="77777777" w:rsidR="000242EE" w:rsidRPr="00647AE6" w:rsidRDefault="000242EE" w:rsidP="00FB38AB">
            <w:pPr>
              <w:spacing w:after="0" w:line="240" w:lineRule="auto"/>
              <w:rPr>
                <w:rFonts w:ascii="Calibri" w:eastAsia="Times New Roman" w:hAnsi="Calibri" w:cs="Times New Roman"/>
                <w:i/>
                <w:iCs/>
                <w:sz w:val="20"/>
                <w:szCs w:val="20"/>
              </w:rPr>
            </w:pPr>
          </w:p>
          <w:p w14:paraId="7DADDE7F" w14:textId="326CDAB1" w:rsidR="000242EE" w:rsidRPr="00D87976" w:rsidRDefault="000242EE" w:rsidP="00FB38AB">
            <w:pPr>
              <w:autoSpaceDE w:val="0"/>
              <w:autoSpaceDN w:val="0"/>
              <w:spacing w:after="0"/>
              <w:rPr>
                <w:rFonts w:ascii="Calibri" w:hAnsi="Calibri"/>
                <w:i/>
                <w:sz w:val="20"/>
                <w:szCs w:val="20"/>
              </w:rPr>
            </w:pPr>
            <w:r w:rsidRPr="00647AE6">
              <w:rPr>
                <w:rFonts w:ascii="Calibri" w:eastAsia="Times New Roman" w:hAnsi="Calibri" w:cs="Times New Roman"/>
                <w:i/>
                <w:iCs/>
                <w:sz w:val="20"/>
                <w:szCs w:val="20"/>
              </w:rPr>
              <w:t>Annual costs off-set by medium- and heavy-duty vehicle exception</w:t>
            </w:r>
            <w:r w:rsidR="00A70F54">
              <w:rPr>
                <w:rFonts w:ascii="Calibri" w:eastAsia="Times New Roman" w:hAnsi="Calibri" w:cs="Times New Roman"/>
                <w:i/>
                <w:iCs/>
                <w:sz w:val="20"/>
                <w:szCs w:val="20"/>
              </w:rPr>
              <w:t>s, as provided in clean-up bill AB 1594</w:t>
            </w:r>
            <w:r>
              <w:rPr>
                <w:rFonts w:ascii="Calibri" w:eastAsia="Times New Roman" w:hAnsi="Calibri" w:cs="Times New Roman"/>
                <w:i/>
                <w:iCs/>
                <w:sz w:val="20"/>
                <w:szCs w:val="20"/>
              </w:rPr>
              <w:t>:</w:t>
            </w:r>
            <w:r w:rsidRPr="00647AE6">
              <w:rPr>
                <w:rFonts w:ascii="Calibri" w:eastAsia="Times New Roman" w:hAnsi="Calibri" w:cs="Times New Roman"/>
                <w:i/>
                <w:iCs/>
                <w:sz w:val="20"/>
                <w:szCs w:val="20"/>
              </w:rPr>
              <w:t xml:space="preserve"> </w:t>
            </w:r>
            <w:r w:rsidRPr="00986A8B">
              <w:rPr>
                <w:rFonts w:ascii="Calibri" w:eastAsia="Times New Roman" w:hAnsi="Calibri" w:cs="Times New Roman"/>
                <w:b/>
                <w:bCs/>
                <w:i/>
                <w:iCs/>
                <w:sz w:val="20"/>
                <w:szCs w:val="20"/>
              </w:rPr>
              <w:t>positive</w:t>
            </w:r>
            <w:r w:rsidRPr="00647AE6">
              <w:rPr>
                <w:rFonts w:ascii="Calibri" w:eastAsia="Times New Roman" w:hAnsi="Calibri" w:cs="Times New Roman"/>
                <w:i/>
                <w:iCs/>
                <w:sz w:val="20"/>
                <w:szCs w:val="20"/>
              </w:rPr>
              <w:t xml:space="preserve"> $</w:t>
            </w:r>
            <w:r>
              <w:rPr>
                <w:rFonts w:ascii="Calibri" w:eastAsia="Times New Roman" w:hAnsi="Calibri" w:cs="Times New Roman"/>
                <w:i/>
                <w:iCs/>
                <w:sz w:val="20"/>
                <w:szCs w:val="20"/>
              </w:rPr>
              <w:t xml:space="preserve">1 Million </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23DA7C0" w14:textId="4221B367" w:rsidR="000242EE" w:rsidRPr="00D87976" w:rsidRDefault="000242EE" w:rsidP="00FB38AB">
            <w:pPr>
              <w:autoSpaceDE w:val="0"/>
              <w:autoSpaceDN w:val="0"/>
              <w:jc w:val="center"/>
              <w:rPr>
                <w:rFonts w:ascii="Calibri" w:hAnsi="Calibri"/>
                <w:sz w:val="20"/>
                <w:szCs w:val="20"/>
              </w:rPr>
            </w:pPr>
            <w:r>
              <w:rPr>
                <w:rFonts w:ascii="Calibri" w:eastAsia="Times New Roman" w:hAnsi="Calibri" w:cs="Times New Roman"/>
                <w:sz w:val="20"/>
                <w:szCs w:val="20"/>
              </w:rPr>
              <w:t>Minor</w:t>
            </w:r>
            <w:r w:rsidRPr="00647AE6">
              <w:rPr>
                <w:rFonts w:ascii="Calibri" w:eastAsia="Times New Roman" w:hAnsi="Calibri" w:cs="Times New Roman"/>
                <w:sz w:val="20"/>
                <w:szCs w:val="20"/>
              </w:rPr>
              <w:t xml:space="preserve"> increase</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62591CBB" w14:textId="690AF989" w:rsidR="000242EE" w:rsidRPr="00D87976" w:rsidRDefault="000242EE" w:rsidP="00FB38AB">
            <w:pPr>
              <w:autoSpaceDE w:val="0"/>
              <w:autoSpaceDN w:val="0"/>
              <w:rPr>
                <w:rFonts w:ascii="Calibri" w:hAnsi="Calibri" w:cs="Calibri"/>
                <w:sz w:val="20"/>
                <w:szCs w:val="20"/>
              </w:rPr>
            </w:pPr>
            <w:r w:rsidRPr="00647AE6">
              <w:rPr>
                <w:rFonts w:ascii="Calibri" w:eastAsia="Times New Roman" w:hAnsi="Calibri" w:cs="Times New Roman"/>
                <w:sz w:val="18"/>
                <w:szCs w:val="18"/>
              </w:rPr>
              <w:t>Penalties may apply if a fleet owner fails to comply, fails to file reports, or files a false report. Penalties are not specified.</w:t>
            </w:r>
          </w:p>
        </w:tc>
      </w:tr>
      <w:tr w:rsidR="000242EE" w:rsidRPr="00E51E13" w14:paraId="1C7F627B" w14:textId="77777777" w:rsidTr="000242EE">
        <w:trPr>
          <w:trHeight w:val="1655"/>
        </w:trPr>
        <w:tc>
          <w:tcPr>
            <w:tcW w:w="553" w:type="dxa"/>
            <w:vMerge/>
            <w:tcBorders>
              <w:top w:val="single" w:sz="4" w:space="0" w:color="auto"/>
              <w:left w:val="single" w:sz="4" w:space="0" w:color="auto"/>
              <w:bottom w:val="single" w:sz="4" w:space="0" w:color="auto"/>
              <w:right w:val="single" w:sz="4" w:space="0" w:color="auto"/>
            </w:tcBorders>
            <w:shd w:val="clear" w:color="auto" w:fill="FDE9D9" w:themeFill="accent6" w:themeFillTint="33"/>
            <w:textDirection w:val="btLr"/>
            <w:vAlign w:val="center"/>
          </w:tcPr>
          <w:p w14:paraId="37ED03D6" w14:textId="67F8F00D" w:rsidR="000242EE" w:rsidRPr="00E51E13" w:rsidRDefault="000242EE" w:rsidP="00FB38AB">
            <w:pPr>
              <w:spacing w:after="0" w:line="240" w:lineRule="auto"/>
              <w:jc w:val="center"/>
              <w:rPr>
                <w:rFonts w:ascii="Calibri" w:eastAsia="Times New Roman" w:hAnsi="Calibri" w:cs="Times New Roman"/>
                <w:b/>
                <w:bCs/>
                <w:color w:val="000000"/>
              </w:rPr>
            </w:pPr>
          </w:p>
        </w:tc>
        <w:tc>
          <w:tcPr>
            <w:tcW w:w="5369" w:type="dxa"/>
            <w:tcBorders>
              <w:top w:val="single" w:sz="4" w:space="0" w:color="auto"/>
              <w:left w:val="single" w:sz="4" w:space="0" w:color="auto"/>
              <w:bottom w:val="single" w:sz="4" w:space="0" w:color="auto"/>
              <w:right w:val="single" w:sz="4" w:space="0" w:color="auto"/>
            </w:tcBorders>
            <w:shd w:val="clear" w:color="auto" w:fill="auto"/>
            <w:vAlign w:val="center"/>
          </w:tcPr>
          <w:p w14:paraId="49FA8BF6" w14:textId="77777777" w:rsidR="000242EE" w:rsidRDefault="000242EE" w:rsidP="00FB38AB">
            <w:pPr>
              <w:shd w:val="clear" w:color="auto" w:fill="FFFFFF"/>
              <w:spacing w:before="168" w:after="120" w:line="240" w:lineRule="auto"/>
              <w:textAlignment w:val="baseline"/>
              <w:outlineLvl w:val="0"/>
              <w:rPr>
                <w:rFonts w:ascii="Calibri" w:eastAsia="Times New Roman" w:hAnsi="Calibri" w:cs="Times New Roman"/>
                <w:b/>
                <w:bCs/>
                <w:i/>
                <w:iCs/>
                <w:color w:val="000000"/>
                <w:sz w:val="20"/>
                <w:szCs w:val="20"/>
              </w:rPr>
            </w:pPr>
          </w:p>
          <w:p w14:paraId="70055EE5" w14:textId="77777777" w:rsidR="000242EE" w:rsidRDefault="000242EE" w:rsidP="00FB38AB">
            <w:pPr>
              <w:shd w:val="clear" w:color="auto" w:fill="FFFFFF"/>
              <w:spacing w:before="168" w:after="120" w:line="240" w:lineRule="auto"/>
              <w:textAlignment w:val="baseline"/>
              <w:outlineLvl w:val="0"/>
              <w:rPr>
                <w:rFonts w:ascii="Calibri" w:eastAsia="Times New Roman" w:hAnsi="Calibri" w:cs="Times New Roman"/>
                <w:b/>
                <w:bCs/>
                <w:i/>
                <w:iCs/>
                <w:color w:val="000000"/>
                <w:sz w:val="20"/>
                <w:szCs w:val="20"/>
              </w:rPr>
            </w:pPr>
          </w:p>
          <w:p w14:paraId="231BBC44" w14:textId="58081AD7" w:rsidR="000242EE" w:rsidRDefault="000242EE" w:rsidP="00FB38AB">
            <w:pPr>
              <w:shd w:val="clear" w:color="auto" w:fill="FFFFFF"/>
              <w:spacing w:before="168" w:after="120" w:line="240" w:lineRule="auto"/>
              <w:textAlignment w:val="baseline"/>
              <w:outlineLvl w:val="0"/>
              <w:rPr>
                <w:rFonts w:ascii="Calibri" w:eastAsia="Times New Roman" w:hAnsi="Calibri" w:cs="Times New Roman"/>
                <w:bCs/>
                <w:i/>
                <w:iCs/>
                <w:color w:val="000000"/>
                <w:sz w:val="20"/>
                <w:szCs w:val="20"/>
              </w:rPr>
            </w:pPr>
            <w:r w:rsidRPr="002E622F">
              <w:rPr>
                <w:rFonts w:ascii="Calibri" w:eastAsia="Times New Roman" w:hAnsi="Calibri" w:cs="Times New Roman"/>
                <w:b/>
                <w:bCs/>
                <w:i/>
                <w:iCs/>
                <w:color w:val="000000"/>
                <w:sz w:val="20"/>
                <w:szCs w:val="20"/>
              </w:rPr>
              <w:t xml:space="preserve">Hourly GHG Emissions Reporting/ SB 1158 (2022): </w:t>
            </w:r>
            <w:r w:rsidRPr="002E622F">
              <w:rPr>
                <w:rFonts w:ascii="Calibri" w:eastAsia="Times New Roman" w:hAnsi="Calibri" w:cs="Times New Roman"/>
                <w:bCs/>
                <w:i/>
                <w:iCs/>
                <w:color w:val="000000"/>
                <w:sz w:val="20"/>
                <w:szCs w:val="20"/>
              </w:rPr>
              <w:t>Requires annual reporting to the CEC on electricity used to serve load for each hour during the previous calendar year and the associated GHG emissions.</w:t>
            </w:r>
          </w:p>
          <w:p w14:paraId="11ECBDB4" w14:textId="77777777" w:rsidR="000242EE" w:rsidRDefault="000242EE" w:rsidP="00FB38AB">
            <w:pPr>
              <w:shd w:val="clear" w:color="auto" w:fill="FFFFFF"/>
              <w:spacing w:before="168" w:after="120" w:line="240" w:lineRule="auto"/>
              <w:textAlignment w:val="baseline"/>
              <w:outlineLvl w:val="0"/>
              <w:rPr>
                <w:rFonts w:cstheme="minorHAnsi"/>
                <w:bCs/>
                <w:i/>
                <w:iCs/>
                <w:sz w:val="20"/>
                <w:szCs w:val="20"/>
                <w:shd w:val="clear" w:color="auto" w:fill="FFFFFF"/>
              </w:rPr>
            </w:pPr>
          </w:p>
          <w:p w14:paraId="380B52CB" w14:textId="77777777" w:rsidR="000242EE" w:rsidRDefault="000242EE" w:rsidP="00FB38AB">
            <w:pPr>
              <w:shd w:val="clear" w:color="auto" w:fill="FFFFFF"/>
              <w:spacing w:before="168" w:after="120" w:line="240" w:lineRule="auto"/>
              <w:textAlignment w:val="baseline"/>
              <w:outlineLvl w:val="0"/>
              <w:rPr>
                <w:rFonts w:cstheme="minorHAnsi"/>
                <w:b/>
                <w:bCs/>
                <w:i/>
                <w:iCs/>
                <w:sz w:val="20"/>
                <w:szCs w:val="20"/>
                <w:shd w:val="clear" w:color="auto" w:fill="FFFFFF"/>
              </w:rPr>
            </w:pPr>
          </w:p>
          <w:p w14:paraId="1AB8F625" w14:textId="7F841FF7" w:rsidR="000242EE" w:rsidRPr="00DA384F" w:rsidRDefault="000242EE" w:rsidP="00FB38AB">
            <w:pPr>
              <w:shd w:val="clear" w:color="auto" w:fill="FFFFFF"/>
              <w:spacing w:before="168" w:after="120" w:line="240" w:lineRule="auto"/>
              <w:textAlignment w:val="baseline"/>
              <w:outlineLvl w:val="0"/>
              <w:rPr>
                <w:rFonts w:cstheme="minorHAnsi"/>
                <w:b/>
                <w:bCs/>
                <w:i/>
                <w:iCs/>
                <w:sz w:val="20"/>
                <w:szCs w:val="20"/>
                <w:shd w:val="clear" w:color="auto" w:fill="FFFFFF"/>
              </w:rPr>
            </w:pPr>
          </w:p>
        </w:tc>
        <w:tc>
          <w:tcPr>
            <w:tcW w:w="3330" w:type="dxa"/>
            <w:tcBorders>
              <w:top w:val="single" w:sz="4" w:space="0" w:color="auto"/>
              <w:left w:val="single" w:sz="4" w:space="0" w:color="auto"/>
              <w:bottom w:val="single" w:sz="4" w:space="0" w:color="auto"/>
              <w:right w:val="single" w:sz="4" w:space="0" w:color="auto"/>
            </w:tcBorders>
            <w:shd w:val="clear" w:color="auto" w:fill="auto"/>
            <w:vAlign w:val="center"/>
          </w:tcPr>
          <w:p w14:paraId="44C7B545" w14:textId="0ACB31F5" w:rsidR="000242EE" w:rsidRPr="00647AE6" w:rsidRDefault="000242EE" w:rsidP="00FB38AB">
            <w:pPr>
              <w:spacing w:after="0" w:line="240" w:lineRule="auto"/>
              <w:rPr>
                <w:rFonts w:ascii="Calibri" w:eastAsia="Times New Roman" w:hAnsi="Calibri" w:cs="Times New Roman"/>
                <w:i/>
                <w:iCs/>
                <w:sz w:val="20"/>
                <w:szCs w:val="20"/>
              </w:rPr>
            </w:pPr>
            <w:r w:rsidRPr="002E622F">
              <w:rPr>
                <w:rFonts w:ascii="Calibri" w:eastAsia="Times New Roman" w:hAnsi="Calibri" w:cs="Times New Roman"/>
                <w:i/>
                <w:iCs/>
                <w:sz w:val="20"/>
                <w:szCs w:val="20"/>
              </w:rPr>
              <w:t>Annual cost of implementation for annual reporting and software: $100,000.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C81EB03" w14:textId="21EC513C" w:rsidR="000242EE" w:rsidRDefault="000242EE" w:rsidP="00FB38AB">
            <w:pPr>
              <w:autoSpaceDE w:val="0"/>
              <w:autoSpaceDN w:val="0"/>
              <w:jc w:val="center"/>
              <w:rPr>
                <w:rFonts w:ascii="Calibri" w:eastAsia="Times New Roman" w:hAnsi="Calibri" w:cs="Times New Roman"/>
                <w:sz w:val="20"/>
                <w:szCs w:val="20"/>
              </w:rPr>
            </w:pPr>
            <w:r>
              <w:rPr>
                <w:rFonts w:ascii="Calibri" w:eastAsia="Times New Roman" w:hAnsi="Calibri" w:cs="Times New Roman"/>
                <w:sz w:val="20"/>
                <w:szCs w:val="20"/>
              </w:rPr>
              <w:t>Minor</w:t>
            </w:r>
            <w:r w:rsidRPr="002E622F">
              <w:rPr>
                <w:rFonts w:ascii="Calibri" w:eastAsia="Times New Roman" w:hAnsi="Calibri" w:cs="Times New Roman"/>
                <w:sz w:val="20"/>
                <w:szCs w:val="20"/>
              </w:rPr>
              <w:t xml:space="preserve"> increase</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5D1DC002" w14:textId="77777777" w:rsidR="000242EE" w:rsidRPr="002E622F" w:rsidRDefault="000242EE" w:rsidP="00FB38AB">
            <w:pPr>
              <w:spacing w:after="0" w:line="240" w:lineRule="auto"/>
              <w:rPr>
                <w:rFonts w:ascii="Calibri" w:hAnsi="Calibri" w:cs="Calibri"/>
                <w:sz w:val="20"/>
                <w:szCs w:val="20"/>
              </w:rPr>
            </w:pPr>
            <w:r w:rsidRPr="002E622F">
              <w:rPr>
                <w:rFonts w:ascii="Calibri" w:hAnsi="Calibri" w:cs="Calibri"/>
                <w:sz w:val="20"/>
                <w:szCs w:val="20"/>
              </w:rPr>
              <w:t>Financial penalties not specified. Potential for civil suit for non-compliance. (Potentially could result in cost to implement and any damages attributed</w:t>
            </w:r>
          </w:p>
          <w:p w14:paraId="5F21AED9" w14:textId="595C0762" w:rsidR="000242EE" w:rsidRPr="00647AE6" w:rsidRDefault="000242EE" w:rsidP="00FB38AB">
            <w:pPr>
              <w:autoSpaceDE w:val="0"/>
              <w:autoSpaceDN w:val="0"/>
              <w:rPr>
                <w:rFonts w:ascii="Calibri" w:eastAsia="Times New Roman" w:hAnsi="Calibri" w:cs="Times New Roman"/>
                <w:sz w:val="18"/>
                <w:szCs w:val="18"/>
              </w:rPr>
            </w:pPr>
            <w:r w:rsidRPr="002E622F">
              <w:rPr>
                <w:rFonts w:ascii="Calibri" w:hAnsi="Calibri" w:cs="Calibri"/>
                <w:sz w:val="20"/>
                <w:szCs w:val="20"/>
              </w:rPr>
              <w:t xml:space="preserve"> to noncompliance.)</w:t>
            </w:r>
          </w:p>
        </w:tc>
      </w:tr>
    </w:tbl>
    <w:p w14:paraId="7B95F0ED" w14:textId="41EA05F5" w:rsidR="00FB38AB" w:rsidRDefault="000242EE">
      <w:r>
        <w:t xml:space="preserve"> </w:t>
      </w:r>
      <w:r w:rsidR="00FB38AB">
        <w:br w:type="page"/>
      </w:r>
    </w:p>
    <w:tbl>
      <w:tblPr>
        <w:tblW w:w="14302" w:type="dxa"/>
        <w:tblInd w:w="8" w:type="dxa"/>
        <w:tblLook w:val="04A0" w:firstRow="1" w:lastRow="0" w:firstColumn="1" w:lastColumn="0" w:noHBand="0" w:noVBand="1"/>
      </w:tblPr>
      <w:tblGrid>
        <w:gridCol w:w="10"/>
        <w:gridCol w:w="543"/>
        <w:gridCol w:w="11"/>
        <w:gridCol w:w="5368"/>
        <w:gridCol w:w="3330"/>
        <w:gridCol w:w="90"/>
        <w:gridCol w:w="1620"/>
        <w:gridCol w:w="90"/>
        <w:gridCol w:w="3240"/>
      </w:tblGrid>
      <w:tr w:rsidR="000242EE" w:rsidRPr="00E51E13" w14:paraId="4D4EF7B1" w14:textId="77777777" w:rsidTr="00ED39D7">
        <w:trPr>
          <w:trHeight w:val="80"/>
        </w:trPr>
        <w:tc>
          <w:tcPr>
            <w:tcW w:w="553" w:type="dxa"/>
            <w:gridSpan w:val="2"/>
            <w:tcBorders>
              <w:bottom w:val="single" w:sz="4" w:space="0" w:color="auto"/>
            </w:tcBorders>
            <w:shd w:val="clear" w:color="auto" w:fill="auto"/>
            <w:textDirection w:val="btLr"/>
          </w:tcPr>
          <w:p w14:paraId="7385FBCB" w14:textId="77777777" w:rsidR="000242EE" w:rsidRDefault="000242EE" w:rsidP="000242EE">
            <w:pPr>
              <w:spacing w:after="0" w:line="240" w:lineRule="auto"/>
              <w:jc w:val="center"/>
              <w:rPr>
                <w:rFonts w:ascii="Calibri" w:eastAsia="Times New Roman" w:hAnsi="Calibri" w:cs="Times New Roman"/>
                <w:b/>
                <w:bCs/>
                <w:color w:val="000000"/>
              </w:rPr>
            </w:pPr>
          </w:p>
        </w:tc>
        <w:tc>
          <w:tcPr>
            <w:tcW w:w="5379" w:type="dxa"/>
            <w:gridSpan w:val="2"/>
            <w:tcBorders>
              <w:bottom w:val="single" w:sz="4" w:space="0" w:color="auto"/>
              <w:right w:val="single" w:sz="4" w:space="0" w:color="auto"/>
            </w:tcBorders>
            <w:shd w:val="clear" w:color="auto" w:fill="auto"/>
            <w:vAlign w:val="bottom"/>
          </w:tcPr>
          <w:p w14:paraId="761984EB" w14:textId="42432DAD" w:rsidR="000242EE" w:rsidRPr="002E622F" w:rsidRDefault="000242EE" w:rsidP="000242EE">
            <w:pPr>
              <w:spacing w:after="0"/>
              <w:rPr>
                <w:b/>
                <w:i/>
                <w:sz w:val="20"/>
                <w:szCs w:val="20"/>
              </w:rPr>
            </w:pPr>
            <w:r w:rsidRPr="00E51E13">
              <w:rPr>
                <w:rFonts w:ascii="Calibri" w:eastAsia="Times New Roman" w:hAnsi="Calibri" w:cs="Times New Roman"/>
                <w:b/>
                <w:bCs/>
                <w:color w:val="000000"/>
                <w:sz w:val="18"/>
                <w:szCs w:val="18"/>
              </w:rPr>
              <w:t xml:space="preserve"> </w:t>
            </w:r>
          </w:p>
        </w:tc>
        <w:tc>
          <w:tcPr>
            <w:tcW w:w="3420" w:type="dxa"/>
            <w:gridSpan w:val="2"/>
            <w:tcBorders>
              <w:top w:val="single" w:sz="4" w:space="0" w:color="auto"/>
              <w:left w:val="single" w:sz="4" w:space="0" w:color="auto"/>
              <w:right w:val="single" w:sz="4" w:space="0" w:color="auto"/>
            </w:tcBorders>
            <w:shd w:val="clear" w:color="auto" w:fill="F2DBDB" w:themeFill="accent2" w:themeFillTint="33"/>
            <w:vAlign w:val="center"/>
          </w:tcPr>
          <w:p w14:paraId="4C0D140C" w14:textId="445FF8B4" w:rsidR="000242EE" w:rsidRPr="000242EE" w:rsidRDefault="000242EE" w:rsidP="000242EE">
            <w:pPr>
              <w:spacing w:after="0" w:line="240" w:lineRule="auto"/>
              <w:jc w:val="center"/>
              <w:rPr>
                <w:rFonts w:ascii="Calibri" w:eastAsia="Times New Roman" w:hAnsi="Calibri" w:cs="Times New Roman"/>
                <w:b/>
                <w:bCs/>
                <w:color w:val="000000"/>
              </w:rPr>
            </w:pPr>
            <w:r w:rsidRPr="00E51E13">
              <w:rPr>
                <w:rFonts w:ascii="Calibri" w:eastAsia="Times New Roman" w:hAnsi="Calibri" w:cs="Times New Roman"/>
                <w:b/>
                <w:bCs/>
                <w:color w:val="000000"/>
              </w:rPr>
              <w:t>Estimated Cost of Implementation</w:t>
            </w:r>
          </w:p>
        </w:tc>
        <w:tc>
          <w:tcPr>
            <w:tcW w:w="1620" w:type="dxa"/>
            <w:tcBorders>
              <w:top w:val="single" w:sz="4" w:space="0" w:color="auto"/>
              <w:left w:val="single" w:sz="4" w:space="0" w:color="auto"/>
              <w:right w:val="single" w:sz="4" w:space="0" w:color="auto"/>
            </w:tcBorders>
            <w:shd w:val="clear" w:color="auto" w:fill="E5DFEC" w:themeFill="accent4" w:themeFillTint="33"/>
            <w:vAlign w:val="center"/>
          </w:tcPr>
          <w:p w14:paraId="2CC6E0C2" w14:textId="75B54C8E" w:rsidR="000242EE" w:rsidRPr="000242EE" w:rsidRDefault="000242EE" w:rsidP="000242EE">
            <w:pPr>
              <w:spacing w:line="240" w:lineRule="auto"/>
              <w:jc w:val="center"/>
              <w:rPr>
                <w:rFonts w:ascii="Calibri" w:eastAsia="Times New Roman" w:hAnsi="Calibri" w:cs="Times New Roman"/>
                <w:b/>
                <w:bCs/>
                <w:color w:val="000000"/>
              </w:rPr>
            </w:pPr>
            <w:r w:rsidRPr="00E51E13">
              <w:rPr>
                <w:rFonts w:ascii="Calibri" w:eastAsia="Times New Roman" w:hAnsi="Calibri" w:cs="Times New Roman"/>
                <w:b/>
                <w:bCs/>
                <w:color w:val="000000"/>
              </w:rPr>
              <w:t>Estimated Rate Impact</w:t>
            </w:r>
          </w:p>
        </w:tc>
        <w:tc>
          <w:tcPr>
            <w:tcW w:w="3330" w:type="dxa"/>
            <w:gridSpan w:val="2"/>
            <w:tcBorders>
              <w:top w:val="single" w:sz="4" w:space="0" w:color="auto"/>
              <w:left w:val="single" w:sz="4" w:space="0" w:color="auto"/>
              <w:right w:val="single" w:sz="4" w:space="0" w:color="auto"/>
            </w:tcBorders>
            <w:shd w:val="clear" w:color="auto" w:fill="DAEEF3" w:themeFill="accent5" w:themeFillTint="33"/>
            <w:vAlign w:val="center"/>
          </w:tcPr>
          <w:p w14:paraId="64A9487E" w14:textId="063BA718" w:rsidR="000242EE" w:rsidRPr="000242EE" w:rsidRDefault="000242EE" w:rsidP="000242EE">
            <w:pPr>
              <w:spacing w:line="240" w:lineRule="auto"/>
              <w:jc w:val="center"/>
              <w:rPr>
                <w:rFonts w:ascii="Calibri" w:eastAsia="Times New Roman" w:hAnsi="Calibri" w:cs="Times New Roman"/>
                <w:b/>
                <w:bCs/>
                <w:color w:val="000000"/>
              </w:rPr>
            </w:pPr>
            <w:r w:rsidRPr="00E51E13">
              <w:rPr>
                <w:rFonts w:ascii="Calibri" w:eastAsia="Times New Roman" w:hAnsi="Calibri" w:cs="Times New Roman"/>
                <w:b/>
                <w:bCs/>
                <w:color w:val="000000"/>
              </w:rPr>
              <w:t>Penalties / Other  Potential Cost Impacts</w:t>
            </w:r>
          </w:p>
        </w:tc>
      </w:tr>
      <w:tr w:rsidR="000242EE" w:rsidRPr="00E51E13" w14:paraId="527D8CB6" w14:textId="77777777" w:rsidTr="00ED39D7">
        <w:trPr>
          <w:trHeight w:val="1655"/>
        </w:trPr>
        <w:tc>
          <w:tcPr>
            <w:tcW w:w="553" w:type="dxa"/>
            <w:gridSpan w:val="2"/>
            <w:vMerge w:val="restart"/>
            <w:tcBorders>
              <w:top w:val="single" w:sz="4" w:space="0" w:color="auto"/>
              <w:left w:val="single" w:sz="8" w:space="0" w:color="auto"/>
              <w:right w:val="single" w:sz="4" w:space="0" w:color="auto"/>
            </w:tcBorders>
            <w:shd w:val="clear" w:color="000000" w:fill="FDE9D9"/>
            <w:textDirection w:val="btLr"/>
          </w:tcPr>
          <w:p w14:paraId="37C44109" w14:textId="00B003FF" w:rsidR="000242EE" w:rsidRPr="00E51E13" w:rsidRDefault="000242EE" w:rsidP="000242EE">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 xml:space="preserve"> </w:t>
            </w:r>
            <w:r w:rsidRPr="00E51E13">
              <w:rPr>
                <w:rFonts w:ascii="Calibri" w:eastAsia="Times New Roman" w:hAnsi="Calibri" w:cs="Times New Roman"/>
                <w:b/>
                <w:bCs/>
                <w:color w:val="000000"/>
              </w:rPr>
              <w:t>Climate Change / Greenhouse Gas (GHG) Emissions Reduction</w:t>
            </w:r>
          </w:p>
        </w:tc>
        <w:tc>
          <w:tcPr>
            <w:tcW w:w="5379" w:type="dxa"/>
            <w:gridSpan w:val="2"/>
            <w:vMerge w:val="restart"/>
            <w:tcBorders>
              <w:top w:val="single" w:sz="4" w:space="0" w:color="auto"/>
              <w:left w:val="single" w:sz="4" w:space="0" w:color="auto"/>
              <w:right w:val="single" w:sz="4" w:space="0" w:color="auto"/>
            </w:tcBorders>
            <w:shd w:val="clear" w:color="auto" w:fill="auto"/>
            <w:vAlign w:val="center"/>
          </w:tcPr>
          <w:p w14:paraId="5536DF2E" w14:textId="5E0FAA78" w:rsidR="000242EE" w:rsidRDefault="000242EE" w:rsidP="000242EE">
            <w:pPr>
              <w:spacing w:after="0"/>
              <w:rPr>
                <w:b/>
                <w:i/>
                <w:sz w:val="20"/>
                <w:szCs w:val="20"/>
              </w:rPr>
            </w:pPr>
            <w:r w:rsidRPr="002E622F">
              <w:rPr>
                <w:b/>
                <w:i/>
                <w:sz w:val="20"/>
                <w:szCs w:val="20"/>
              </w:rPr>
              <w:t xml:space="preserve">California Climate Crisis Act / AB 1279 (2022): </w:t>
            </w:r>
            <w:r w:rsidRPr="002E622F">
              <w:rPr>
                <w:i/>
                <w:sz w:val="20"/>
                <w:szCs w:val="20"/>
              </w:rPr>
              <w:t>Declares the policy of the state both to achieve net zero GHG emissions as soon as possible, but no later than 2045, and achieve and maintain net negative GHG emissions thereafter, and to ensure that by 2045, statewide anthropogenic GHG emissions are reduced to at least 85% below 1990 levels.</w:t>
            </w:r>
          </w:p>
          <w:p w14:paraId="44B6077D" w14:textId="7BB70717" w:rsidR="000242EE" w:rsidRPr="00D87976" w:rsidRDefault="000242EE" w:rsidP="000242EE">
            <w:pPr>
              <w:spacing w:after="0"/>
              <w:rPr>
                <w:i/>
                <w:sz w:val="20"/>
                <w:szCs w:val="20"/>
              </w:rPr>
            </w:pPr>
            <w:r w:rsidRPr="00D87976">
              <w:rPr>
                <w:b/>
                <w:i/>
                <w:sz w:val="20"/>
                <w:szCs w:val="20"/>
              </w:rPr>
              <w:t>2030 Cap &amp; Trade Program / AB 398 (2017):</w:t>
            </w:r>
            <w:r w:rsidRPr="00D87976">
              <w:rPr>
                <w:i/>
                <w:sz w:val="20"/>
                <w:szCs w:val="20"/>
              </w:rPr>
              <w:t xml:space="preserve"> Authorizes the Air Resources Board (CARB) to extend the Cap &amp; Trade Program through 2030; however, the law will require Program changes (to be developed later by CARB) that may impact future compliance costs.</w:t>
            </w:r>
          </w:p>
          <w:p w14:paraId="7EFFC40B" w14:textId="13452449" w:rsidR="000242EE" w:rsidRPr="00D87976" w:rsidRDefault="000242EE" w:rsidP="000242EE">
            <w:pPr>
              <w:spacing w:after="0"/>
              <w:rPr>
                <w:i/>
                <w:sz w:val="20"/>
                <w:szCs w:val="20"/>
              </w:rPr>
            </w:pPr>
            <w:r w:rsidRPr="00D87976">
              <w:rPr>
                <w:b/>
                <w:i/>
                <w:sz w:val="20"/>
                <w:szCs w:val="20"/>
              </w:rPr>
              <w:t>2030 Greenhouse Gas Emissions Reductions / SB 32 &amp; AB 197 (2016):</w:t>
            </w:r>
            <w:r w:rsidRPr="00D87976">
              <w:rPr>
                <w:i/>
                <w:sz w:val="20"/>
                <w:szCs w:val="20"/>
              </w:rPr>
              <w:t xml:space="preserve"> Require CARB’s regulations to reduce greenhouse gas (GHG) emissions from current requirement of 1990 levels by 2020 to 40% below 1990 levels by December 2030.  These regulations must now consider “social costs” of GHG emissions, prioritize direct emissions reductions from stationary and mobile sources, among other things.</w:t>
            </w:r>
          </w:p>
          <w:p w14:paraId="5F4735BA" w14:textId="77777777" w:rsidR="000242EE" w:rsidRPr="00D87976" w:rsidRDefault="000242EE" w:rsidP="000242EE">
            <w:pPr>
              <w:spacing w:after="0"/>
              <w:rPr>
                <w:i/>
                <w:sz w:val="18"/>
                <w:szCs w:val="18"/>
              </w:rPr>
            </w:pPr>
          </w:p>
          <w:p w14:paraId="3510C8AB" w14:textId="09FACD50" w:rsidR="000242EE" w:rsidRPr="004D20BE" w:rsidRDefault="000242EE" w:rsidP="000242EE">
            <w:pPr>
              <w:rPr>
                <w:i/>
                <w:sz w:val="20"/>
                <w:szCs w:val="20"/>
              </w:rPr>
            </w:pPr>
            <w:r w:rsidRPr="00D87976">
              <w:rPr>
                <w:i/>
                <w:sz w:val="20"/>
                <w:szCs w:val="20"/>
              </w:rPr>
              <w:t>APU will comply with CARB’s Cap &amp; Trade Program to help achieve the required 2030 GHG emissions reductions. However, AB 197 and/or AB 398 could result in additional Program measures or compliance costs that would impact APU and its customers.</w:t>
            </w:r>
          </w:p>
        </w:tc>
        <w:tc>
          <w:tcPr>
            <w:tcW w:w="3420" w:type="dxa"/>
            <w:gridSpan w:val="2"/>
            <w:vMerge w:val="restart"/>
            <w:tcBorders>
              <w:top w:val="single" w:sz="4" w:space="0" w:color="auto"/>
              <w:left w:val="single" w:sz="4" w:space="0" w:color="auto"/>
              <w:right w:val="single" w:sz="4" w:space="0" w:color="auto"/>
            </w:tcBorders>
            <w:shd w:val="clear" w:color="auto" w:fill="auto"/>
            <w:vAlign w:val="center"/>
          </w:tcPr>
          <w:p w14:paraId="5FEF0689" w14:textId="77777777" w:rsidR="000242EE" w:rsidRPr="00D87976" w:rsidRDefault="000242EE" w:rsidP="000242EE">
            <w:pPr>
              <w:autoSpaceDE w:val="0"/>
              <w:autoSpaceDN w:val="0"/>
              <w:spacing w:after="0"/>
              <w:rPr>
                <w:rFonts w:ascii="Calibri" w:hAnsi="Calibri"/>
                <w:i/>
                <w:sz w:val="20"/>
                <w:szCs w:val="20"/>
              </w:rPr>
            </w:pPr>
            <w:r w:rsidRPr="00D87976">
              <w:rPr>
                <w:rFonts w:ascii="Calibri" w:hAnsi="Calibri"/>
                <w:i/>
                <w:sz w:val="20"/>
                <w:szCs w:val="20"/>
              </w:rPr>
              <w:t>Annual costs for compliance with the Cap &amp; Trade Program from 2021 to 2030:  $7 to $10 million</w:t>
            </w:r>
          </w:p>
          <w:p w14:paraId="391B7F94" w14:textId="56C76D27" w:rsidR="000242EE" w:rsidRPr="00D87976" w:rsidRDefault="000242EE" w:rsidP="000242EE">
            <w:pPr>
              <w:autoSpaceDE w:val="0"/>
              <w:autoSpaceDN w:val="0"/>
              <w:spacing w:after="0"/>
              <w:rPr>
                <w:rFonts w:ascii="Calibri" w:hAnsi="Calibri"/>
                <w:i/>
                <w:sz w:val="20"/>
                <w:szCs w:val="20"/>
              </w:rPr>
            </w:pPr>
            <w:r w:rsidRPr="00D87976">
              <w:rPr>
                <w:rFonts w:ascii="Calibri" w:hAnsi="Calibri"/>
                <w:i/>
                <w:sz w:val="20"/>
                <w:szCs w:val="20"/>
              </w:rPr>
              <w:t>(Assumes the Cap &amp; Trade Program continues without major modifications).</w:t>
            </w:r>
          </w:p>
          <w:p w14:paraId="3087710A" w14:textId="77777777" w:rsidR="000242EE" w:rsidRPr="00D87976" w:rsidRDefault="000242EE" w:rsidP="000242EE">
            <w:pPr>
              <w:autoSpaceDE w:val="0"/>
              <w:autoSpaceDN w:val="0"/>
              <w:spacing w:after="0"/>
              <w:rPr>
                <w:rFonts w:ascii="Calibri" w:hAnsi="Calibri"/>
                <w:i/>
                <w:sz w:val="20"/>
                <w:szCs w:val="20"/>
              </w:rPr>
            </w:pPr>
          </w:p>
          <w:p w14:paraId="57086B44" w14:textId="6F8FE4D8" w:rsidR="000242EE" w:rsidRPr="00D87976" w:rsidRDefault="000242EE" w:rsidP="000242EE">
            <w:pPr>
              <w:autoSpaceDE w:val="0"/>
              <w:autoSpaceDN w:val="0"/>
              <w:rPr>
                <w:rFonts w:ascii="Calibri" w:hAnsi="Calibri"/>
                <w:i/>
                <w:sz w:val="20"/>
                <w:szCs w:val="20"/>
              </w:rPr>
            </w:pPr>
            <w:r w:rsidRPr="00D87976">
              <w:rPr>
                <w:rFonts w:ascii="Calibri" w:hAnsi="Calibri"/>
                <w:i/>
                <w:sz w:val="20"/>
                <w:szCs w:val="20"/>
              </w:rPr>
              <w:t>Potential additional costs/impacts will depend on new State regulations to be developed for AB 197 and AB 398.</w:t>
            </w:r>
          </w:p>
        </w:tc>
        <w:tc>
          <w:tcPr>
            <w:tcW w:w="1620" w:type="dxa"/>
            <w:vMerge w:val="restart"/>
            <w:tcBorders>
              <w:top w:val="single" w:sz="4" w:space="0" w:color="auto"/>
              <w:left w:val="single" w:sz="4" w:space="0" w:color="auto"/>
              <w:right w:val="single" w:sz="4" w:space="0" w:color="auto"/>
            </w:tcBorders>
            <w:shd w:val="clear" w:color="auto" w:fill="auto"/>
            <w:vAlign w:val="center"/>
          </w:tcPr>
          <w:p w14:paraId="7907F959" w14:textId="77777777" w:rsidR="000242EE" w:rsidRPr="00D87976" w:rsidRDefault="000242EE" w:rsidP="000242EE">
            <w:pPr>
              <w:autoSpaceDE w:val="0"/>
              <w:autoSpaceDN w:val="0"/>
              <w:jc w:val="center"/>
              <w:rPr>
                <w:rFonts w:ascii="Calibri" w:hAnsi="Calibri"/>
                <w:sz w:val="20"/>
                <w:szCs w:val="20"/>
              </w:rPr>
            </w:pPr>
            <w:r w:rsidRPr="00D87976">
              <w:rPr>
                <w:rFonts w:ascii="Calibri" w:hAnsi="Calibri"/>
                <w:sz w:val="20"/>
                <w:szCs w:val="20"/>
              </w:rPr>
              <w:t>2% to 2.8% increase for Cap &amp; Trade Program compliance</w:t>
            </w:r>
          </w:p>
        </w:tc>
        <w:tc>
          <w:tcPr>
            <w:tcW w:w="3330" w:type="dxa"/>
            <w:gridSpan w:val="2"/>
            <w:vMerge w:val="restart"/>
            <w:tcBorders>
              <w:top w:val="single" w:sz="4" w:space="0" w:color="auto"/>
              <w:left w:val="single" w:sz="4" w:space="0" w:color="auto"/>
              <w:right w:val="single" w:sz="4" w:space="0" w:color="auto"/>
            </w:tcBorders>
            <w:shd w:val="clear" w:color="auto" w:fill="auto"/>
            <w:vAlign w:val="center"/>
          </w:tcPr>
          <w:p w14:paraId="41F5CFE1" w14:textId="77777777" w:rsidR="000242EE" w:rsidRPr="00D87976" w:rsidRDefault="000242EE" w:rsidP="000242EE">
            <w:pPr>
              <w:autoSpaceDE w:val="0"/>
              <w:autoSpaceDN w:val="0"/>
              <w:rPr>
                <w:rFonts w:ascii="Calibri" w:hAnsi="Calibri"/>
                <w:sz w:val="20"/>
                <w:szCs w:val="20"/>
              </w:rPr>
            </w:pPr>
            <w:r w:rsidRPr="00D87976">
              <w:rPr>
                <w:rFonts w:ascii="Calibri" w:hAnsi="Calibri" w:cs="Calibri"/>
                <w:sz w:val="20"/>
                <w:szCs w:val="20"/>
              </w:rPr>
              <w:t>For the Cap &amp; Trade Program, a penalty of four times the GHG allowance shortfall per day of non-compliance.</w:t>
            </w:r>
          </w:p>
        </w:tc>
      </w:tr>
      <w:tr w:rsidR="000242EE" w:rsidRPr="00E51E13" w14:paraId="7A847606" w14:textId="77777777" w:rsidTr="00ED39D7">
        <w:trPr>
          <w:trHeight w:val="2546"/>
        </w:trPr>
        <w:tc>
          <w:tcPr>
            <w:tcW w:w="553" w:type="dxa"/>
            <w:gridSpan w:val="2"/>
            <w:vMerge/>
            <w:tcBorders>
              <w:left w:val="single" w:sz="8" w:space="0" w:color="auto"/>
              <w:right w:val="single" w:sz="4" w:space="0" w:color="auto"/>
            </w:tcBorders>
            <w:shd w:val="clear" w:color="000000" w:fill="FDE9D9"/>
            <w:textDirection w:val="btLr"/>
          </w:tcPr>
          <w:p w14:paraId="0793D35E" w14:textId="77777777" w:rsidR="000242EE" w:rsidRPr="00E51E13" w:rsidRDefault="000242EE" w:rsidP="000242EE">
            <w:pPr>
              <w:spacing w:after="0" w:line="240" w:lineRule="auto"/>
              <w:jc w:val="center"/>
              <w:rPr>
                <w:rFonts w:ascii="Calibri" w:eastAsia="Times New Roman" w:hAnsi="Calibri" w:cs="Times New Roman"/>
                <w:b/>
                <w:bCs/>
                <w:color w:val="000000"/>
              </w:rPr>
            </w:pPr>
          </w:p>
        </w:tc>
        <w:tc>
          <w:tcPr>
            <w:tcW w:w="5379" w:type="dxa"/>
            <w:gridSpan w:val="2"/>
            <w:vMerge/>
            <w:tcBorders>
              <w:left w:val="single" w:sz="4" w:space="0" w:color="auto"/>
              <w:right w:val="single" w:sz="4" w:space="0" w:color="auto"/>
            </w:tcBorders>
            <w:shd w:val="clear" w:color="auto" w:fill="auto"/>
            <w:vAlign w:val="center"/>
          </w:tcPr>
          <w:p w14:paraId="4D206203" w14:textId="77777777" w:rsidR="000242EE" w:rsidRDefault="000242EE" w:rsidP="000242EE">
            <w:pPr>
              <w:spacing w:after="0"/>
              <w:rPr>
                <w:b/>
                <w:i/>
                <w:sz w:val="20"/>
                <w:szCs w:val="20"/>
              </w:rPr>
            </w:pPr>
          </w:p>
        </w:tc>
        <w:tc>
          <w:tcPr>
            <w:tcW w:w="3420" w:type="dxa"/>
            <w:gridSpan w:val="2"/>
            <w:vMerge/>
            <w:tcBorders>
              <w:left w:val="single" w:sz="4" w:space="0" w:color="auto"/>
              <w:right w:val="single" w:sz="4" w:space="0" w:color="auto"/>
            </w:tcBorders>
            <w:shd w:val="clear" w:color="auto" w:fill="auto"/>
            <w:vAlign w:val="center"/>
          </w:tcPr>
          <w:p w14:paraId="6E5CF503" w14:textId="77777777" w:rsidR="000242EE" w:rsidRPr="00D87976" w:rsidRDefault="000242EE" w:rsidP="000242EE">
            <w:pPr>
              <w:autoSpaceDE w:val="0"/>
              <w:autoSpaceDN w:val="0"/>
              <w:spacing w:after="0"/>
              <w:rPr>
                <w:rFonts w:ascii="Calibri" w:hAnsi="Calibri"/>
                <w:i/>
                <w:sz w:val="20"/>
                <w:szCs w:val="20"/>
              </w:rPr>
            </w:pPr>
          </w:p>
        </w:tc>
        <w:tc>
          <w:tcPr>
            <w:tcW w:w="1620" w:type="dxa"/>
            <w:vMerge/>
            <w:tcBorders>
              <w:left w:val="single" w:sz="4" w:space="0" w:color="auto"/>
              <w:right w:val="single" w:sz="4" w:space="0" w:color="auto"/>
            </w:tcBorders>
            <w:shd w:val="clear" w:color="auto" w:fill="auto"/>
            <w:vAlign w:val="center"/>
          </w:tcPr>
          <w:p w14:paraId="7F3071D1" w14:textId="77777777" w:rsidR="000242EE" w:rsidRPr="00D87976" w:rsidRDefault="000242EE" w:rsidP="000242EE">
            <w:pPr>
              <w:autoSpaceDE w:val="0"/>
              <w:autoSpaceDN w:val="0"/>
              <w:jc w:val="center"/>
              <w:rPr>
                <w:rFonts w:ascii="Calibri" w:hAnsi="Calibri"/>
                <w:sz w:val="20"/>
                <w:szCs w:val="20"/>
              </w:rPr>
            </w:pPr>
          </w:p>
        </w:tc>
        <w:tc>
          <w:tcPr>
            <w:tcW w:w="3330" w:type="dxa"/>
            <w:gridSpan w:val="2"/>
            <w:vMerge/>
            <w:tcBorders>
              <w:left w:val="single" w:sz="4" w:space="0" w:color="auto"/>
              <w:right w:val="single" w:sz="4" w:space="0" w:color="auto"/>
            </w:tcBorders>
            <w:shd w:val="clear" w:color="auto" w:fill="auto"/>
            <w:vAlign w:val="center"/>
          </w:tcPr>
          <w:p w14:paraId="008B5757" w14:textId="77777777" w:rsidR="000242EE" w:rsidRPr="00D87976" w:rsidRDefault="000242EE" w:rsidP="000242EE">
            <w:pPr>
              <w:autoSpaceDE w:val="0"/>
              <w:autoSpaceDN w:val="0"/>
              <w:rPr>
                <w:rFonts w:ascii="Calibri" w:hAnsi="Calibri" w:cs="Calibri"/>
                <w:sz w:val="20"/>
                <w:szCs w:val="20"/>
              </w:rPr>
            </w:pPr>
          </w:p>
        </w:tc>
      </w:tr>
      <w:tr w:rsidR="000242EE" w:rsidRPr="00E51E13" w14:paraId="6E67B13E" w14:textId="77777777" w:rsidTr="00ED39D7">
        <w:trPr>
          <w:trHeight w:val="4787"/>
        </w:trPr>
        <w:tc>
          <w:tcPr>
            <w:tcW w:w="553" w:type="dxa"/>
            <w:gridSpan w:val="2"/>
            <w:vMerge/>
            <w:tcBorders>
              <w:left w:val="single" w:sz="8" w:space="0" w:color="auto"/>
              <w:bottom w:val="single" w:sz="4" w:space="0" w:color="auto"/>
              <w:right w:val="single" w:sz="4" w:space="0" w:color="auto"/>
            </w:tcBorders>
            <w:shd w:val="clear" w:color="000000" w:fill="FDE9D9"/>
            <w:textDirection w:val="btLr"/>
          </w:tcPr>
          <w:p w14:paraId="7A4B60BF" w14:textId="77777777" w:rsidR="000242EE" w:rsidRPr="00E51E13" w:rsidRDefault="000242EE" w:rsidP="000242EE">
            <w:pPr>
              <w:spacing w:after="0" w:line="240" w:lineRule="auto"/>
              <w:jc w:val="center"/>
              <w:rPr>
                <w:rFonts w:ascii="Calibri" w:eastAsia="Times New Roman" w:hAnsi="Calibri" w:cs="Times New Roman"/>
                <w:b/>
                <w:bCs/>
                <w:color w:val="000000"/>
              </w:rPr>
            </w:pPr>
          </w:p>
        </w:tc>
        <w:tc>
          <w:tcPr>
            <w:tcW w:w="5379" w:type="dxa"/>
            <w:gridSpan w:val="2"/>
            <w:vMerge/>
            <w:tcBorders>
              <w:left w:val="single" w:sz="4" w:space="0" w:color="auto"/>
              <w:bottom w:val="single" w:sz="4" w:space="0" w:color="auto"/>
              <w:right w:val="single" w:sz="4" w:space="0" w:color="auto"/>
            </w:tcBorders>
            <w:shd w:val="clear" w:color="auto" w:fill="auto"/>
            <w:vAlign w:val="center"/>
          </w:tcPr>
          <w:p w14:paraId="38CB83DC" w14:textId="77777777" w:rsidR="000242EE" w:rsidRPr="004D6244" w:rsidRDefault="000242EE" w:rsidP="000242EE">
            <w:pPr>
              <w:spacing w:after="0"/>
              <w:rPr>
                <w:b/>
                <w:i/>
                <w:color w:val="FF0000"/>
                <w:sz w:val="20"/>
                <w:szCs w:val="20"/>
              </w:rPr>
            </w:pPr>
          </w:p>
        </w:tc>
        <w:tc>
          <w:tcPr>
            <w:tcW w:w="3420" w:type="dxa"/>
            <w:gridSpan w:val="2"/>
            <w:vMerge/>
            <w:tcBorders>
              <w:left w:val="single" w:sz="4" w:space="0" w:color="auto"/>
              <w:bottom w:val="single" w:sz="4" w:space="0" w:color="auto"/>
              <w:right w:val="single" w:sz="4" w:space="0" w:color="auto"/>
            </w:tcBorders>
            <w:shd w:val="clear" w:color="auto" w:fill="auto"/>
            <w:vAlign w:val="center"/>
          </w:tcPr>
          <w:p w14:paraId="728E6E27" w14:textId="77777777" w:rsidR="000242EE" w:rsidRPr="000839C9" w:rsidRDefault="000242EE" w:rsidP="000242EE">
            <w:pPr>
              <w:autoSpaceDE w:val="0"/>
              <w:autoSpaceDN w:val="0"/>
              <w:spacing w:after="0"/>
              <w:rPr>
                <w:rFonts w:ascii="Calibri" w:hAnsi="Calibri"/>
                <w:i/>
                <w:sz w:val="20"/>
                <w:szCs w:val="20"/>
              </w:rPr>
            </w:pPr>
          </w:p>
        </w:tc>
        <w:tc>
          <w:tcPr>
            <w:tcW w:w="1620" w:type="dxa"/>
            <w:vMerge/>
            <w:tcBorders>
              <w:left w:val="single" w:sz="4" w:space="0" w:color="auto"/>
              <w:bottom w:val="single" w:sz="4" w:space="0" w:color="auto"/>
              <w:right w:val="single" w:sz="4" w:space="0" w:color="auto"/>
            </w:tcBorders>
            <w:shd w:val="clear" w:color="auto" w:fill="auto"/>
            <w:vAlign w:val="center"/>
          </w:tcPr>
          <w:p w14:paraId="5D24C933" w14:textId="77777777" w:rsidR="000242EE" w:rsidRPr="000839C9" w:rsidRDefault="000242EE" w:rsidP="000242EE">
            <w:pPr>
              <w:autoSpaceDE w:val="0"/>
              <w:autoSpaceDN w:val="0"/>
              <w:jc w:val="center"/>
              <w:rPr>
                <w:rFonts w:ascii="Calibri" w:hAnsi="Calibri"/>
                <w:sz w:val="20"/>
                <w:szCs w:val="20"/>
              </w:rPr>
            </w:pPr>
          </w:p>
        </w:tc>
        <w:tc>
          <w:tcPr>
            <w:tcW w:w="3330" w:type="dxa"/>
            <w:gridSpan w:val="2"/>
            <w:vMerge/>
            <w:tcBorders>
              <w:left w:val="single" w:sz="4" w:space="0" w:color="auto"/>
              <w:bottom w:val="single" w:sz="4" w:space="0" w:color="auto"/>
              <w:right w:val="single" w:sz="4" w:space="0" w:color="auto"/>
            </w:tcBorders>
            <w:shd w:val="clear" w:color="auto" w:fill="auto"/>
            <w:vAlign w:val="center"/>
          </w:tcPr>
          <w:p w14:paraId="67478D41" w14:textId="77777777" w:rsidR="000242EE" w:rsidRPr="000839C9" w:rsidRDefault="000242EE" w:rsidP="000242EE">
            <w:pPr>
              <w:autoSpaceDE w:val="0"/>
              <w:autoSpaceDN w:val="0"/>
              <w:rPr>
                <w:rFonts w:ascii="Calibri" w:hAnsi="Calibri" w:cs="Calibri"/>
                <w:sz w:val="20"/>
                <w:szCs w:val="20"/>
              </w:rPr>
            </w:pPr>
          </w:p>
        </w:tc>
      </w:tr>
      <w:tr w:rsidR="00ED39D7" w:rsidRPr="00E51E13" w14:paraId="4FCFDD09" w14:textId="77777777" w:rsidTr="00ED39D7">
        <w:trPr>
          <w:gridBefore w:val="1"/>
          <w:wBefore w:w="10" w:type="dxa"/>
          <w:trHeight w:val="377"/>
        </w:trPr>
        <w:tc>
          <w:tcPr>
            <w:tcW w:w="554" w:type="dxa"/>
            <w:gridSpan w:val="2"/>
            <w:tcBorders>
              <w:bottom w:val="single" w:sz="4" w:space="0" w:color="auto"/>
            </w:tcBorders>
            <w:shd w:val="clear" w:color="auto" w:fill="auto"/>
            <w:textDirection w:val="btLr"/>
            <w:vAlign w:val="center"/>
          </w:tcPr>
          <w:p w14:paraId="0221A81E" w14:textId="77777777" w:rsidR="00ED39D7" w:rsidRPr="00E51E13" w:rsidRDefault="00ED39D7" w:rsidP="00ED39D7">
            <w:pPr>
              <w:spacing w:after="0" w:line="240" w:lineRule="auto"/>
              <w:rPr>
                <w:rFonts w:ascii="Calibri" w:eastAsia="Times New Roman" w:hAnsi="Calibri" w:cs="Times New Roman"/>
                <w:b/>
                <w:bCs/>
                <w:color w:val="000000"/>
              </w:rPr>
            </w:pPr>
          </w:p>
        </w:tc>
        <w:tc>
          <w:tcPr>
            <w:tcW w:w="5368" w:type="dxa"/>
            <w:tcBorders>
              <w:bottom w:val="single" w:sz="4" w:space="0" w:color="auto"/>
              <w:right w:val="single" w:sz="4" w:space="0" w:color="auto"/>
            </w:tcBorders>
            <w:shd w:val="clear" w:color="auto" w:fill="auto"/>
            <w:vAlign w:val="center"/>
          </w:tcPr>
          <w:p w14:paraId="603B41CA" w14:textId="77777777" w:rsidR="00ED39D7" w:rsidRPr="003951DF" w:rsidRDefault="00ED39D7" w:rsidP="00ED39D7">
            <w:pPr>
              <w:spacing w:after="0" w:line="240" w:lineRule="auto"/>
              <w:rPr>
                <w:rFonts w:ascii="Calibri" w:eastAsia="Times New Roman" w:hAnsi="Calibri" w:cs="Times New Roman"/>
                <w:b/>
                <w:bCs/>
                <w:i/>
                <w:iCs/>
                <w:color w:val="000000"/>
                <w:sz w:val="20"/>
                <w:szCs w:val="20"/>
              </w:rPr>
            </w:pPr>
          </w:p>
        </w:tc>
        <w:tc>
          <w:tcPr>
            <w:tcW w:w="3330"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14A6BA46" w14:textId="65BC0239" w:rsidR="00ED39D7" w:rsidRDefault="00ED39D7" w:rsidP="00ED39D7">
            <w:pPr>
              <w:spacing w:after="0" w:line="240" w:lineRule="auto"/>
              <w:jc w:val="center"/>
              <w:rPr>
                <w:rFonts w:ascii="Calibri" w:eastAsia="Times New Roman" w:hAnsi="Calibri" w:cs="Times New Roman"/>
                <w:b/>
                <w:bCs/>
                <w:color w:val="000000"/>
              </w:rPr>
            </w:pPr>
            <w:r w:rsidRPr="00E51E13">
              <w:rPr>
                <w:rFonts w:ascii="Calibri" w:eastAsia="Times New Roman" w:hAnsi="Calibri" w:cs="Times New Roman"/>
                <w:b/>
                <w:bCs/>
                <w:color w:val="000000"/>
              </w:rPr>
              <w:t>Estimated Cost of</w:t>
            </w:r>
          </w:p>
          <w:p w14:paraId="5C57D9BF" w14:textId="5B44D1AA" w:rsidR="00ED39D7" w:rsidRPr="003951DF" w:rsidRDefault="00ED39D7" w:rsidP="00ED39D7">
            <w:pPr>
              <w:spacing w:after="0" w:line="240" w:lineRule="auto"/>
              <w:jc w:val="center"/>
              <w:rPr>
                <w:rFonts w:ascii="Calibri" w:eastAsia="Times New Roman" w:hAnsi="Calibri" w:cs="Times New Roman"/>
                <w:i/>
                <w:iCs/>
                <w:color w:val="000000"/>
                <w:sz w:val="20"/>
                <w:szCs w:val="20"/>
              </w:rPr>
            </w:pPr>
            <w:r w:rsidRPr="00E51E13">
              <w:rPr>
                <w:rFonts w:ascii="Calibri" w:eastAsia="Times New Roman" w:hAnsi="Calibri" w:cs="Times New Roman"/>
                <w:b/>
                <w:bCs/>
                <w:color w:val="000000"/>
              </w:rPr>
              <w:t>Implementation</w:t>
            </w:r>
          </w:p>
        </w:tc>
        <w:tc>
          <w:tcPr>
            <w:tcW w:w="1800" w:type="dxa"/>
            <w:gridSpan w:val="3"/>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31494C6E" w14:textId="7A2C5679" w:rsidR="00ED39D7" w:rsidRPr="003951DF" w:rsidRDefault="00ED39D7" w:rsidP="00ED39D7">
            <w:pPr>
              <w:spacing w:after="0" w:line="240" w:lineRule="auto"/>
              <w:jc w:val="center"/>
              <w:rPr>
                <w:rFonts w:ascii="Calibri" w:eastAsia="Times New Roman" w:hAnsi="Calibri" w:cs="Times New Roman"/>
                <w:color w:val="000000"/>
                <w:sz w:val="20"/>
                <w:szCs w:val="20"/>
              </w:rPr>
            </w:pPr>
            <w:r w:rsidRPr="00E51E13">
              <w:rPr>
                <w:rFonts w:ascii="Calibri" w:eastAsia="Times New Roman" w:hAnsi="Calibri" w:cs="Times New Roman"/>
                <w:b/>
                <w:bCs/>
                <w:color w:val="000000"/>
              </w:rPr>
              <w:t>Estimated Rate Impact</w:t>
            </w:r>
          </w:p>
        </w:tc>
        <w:tc>
          <w:tcPr>
            <w:tcW w:w="324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6405DBD8" w14:textId="11FE597E" w:rsidR="00ED39D7" w:rsidRPr="00E060C4" w:rsidRDefault="00ED39D7" w:rsidP="00ED39D7">
            <w:pPr>
              <w:spacing w:after="0" w:line="240" w:lineRule="auto"/>
              <w:rPr>
                <w:rFonts w:ascii="Calibri" w:eastAsia="Times New Roman" w:hAnsi="Calibri" w:cs="Times New Roman"/>
                <w:color w:val="000000"/>
                <w:sz w:val="20"/>
                <w:szCs w:val="20"/>
              </w:rPr>
            </w:pPr>
            <w:r w:rsidRPr="00E51E13">
              <w:rPr>
                <w:rFonts w:ascii="Calibri" w:eastAsia="Times New Roman" w:hAnsi="Calibri" w:cs="Times New Roman"/>
                <w:b/>
                <w:bCs/>
                <w:color w:val="000000"/>
              </w:rPr>
              <w:t>Penalties / Other  Potential Cost Impacts</w:t>
            </w:r>
          </w:p>
        </w:tc>
      </w:tr>
      <w:tr w:rsidR="00ED39D7" w:rsidRPr="00E51E13" w14:paraId="4A0C8283" w14:textId="77777777" w:rsidTr="00ED39D7">
        <w:trPr>
          <w:gridBefore w:val="1"/>
          <w:wBefore w:w="10" w:type="dxa"/>
          <w:trHeight w:val="1160"/>
        </w:trPr>
        <w:tc>
          <w:tcPr>
            <w:tcW w:w="554" w:type="dxa"/>
            <w:gridSpan w:val="2"/>
            <w:vMerge w:val="restart"/>
            <w:tcBorders>
              <w:top w:val="single" w:sz="4" w:space="0" w:color="auto"/>
              <w:left w:val="single" w:sz="4" w:space="0" w:color="auto"/>
              <w:right w:val="single" w:sz="4" w:space="0" w:color="auto"/>
            </w:tcBorders>
            <w:shd w:val="clear" w:color="000000" w:fill="FDE9D9"/>
            <w:textDirection w:val="btLr"/>
            <w:vAlign w:val="center"/>
          </w:tcPr>
          <w:p w14:paraId="0ABC5E48" w14:textId="5F54542C" w:rsidR="00ED39D7" w:rsidRPr="00E51E13" w:rsidRDefault="00ED39D7" w:rsidP="00ED39D7">
            <w:pPr>
              <w:spacing w:after="0" w:line="240" w:lineRule="auto"/>
              <w:jc w:val="center"/>
              <w:rPr>
                <w:rFonts w:ascii="Calibri" w:eastAsia="Times New Roman" w:hAnsi="Calibri" w:cs="Times New Roman"/>
                <w:b/>
                <w:bCs/>
                <w:color w:val="000000"/>
              </w:rPr>
            </w:pPr>
            <w:r w:rsidRPr="00E51E13">
              <w:rPr>
                <w:rFonts w:ascii="Calibri" w:eastAsia="Times New Roman" w:hAnsi="Calibri" w:cs="Times New Roman"/>
                <w:b/>
                <w:bCs/>
                <w:color w:val="000000"/>
              </w:rPr>
              <w:t>Climate Change / Greenhouse Gas (GHG) Emissions Reduction</w:t>
            </w:r>
          </w:p>
        </w:tc>
        <w:tc>
          <w:tcPr>
            <w:tcW w:w="5368" w:type="dxa"/>
            <w:tcBorders>
              <w:top w:val="single" w:sz="4" w:space="0" w:color="auto"/>
              <w:left w:val="single" w:sz="4" w:space="0" w:color="auto"/>
              <w:bottom w:val="single" w:sz="4" w:space="0" w:color="auto"/>
              <w:right w:val="single" w:sz="4" w:space="0" w:color="auto"/>
            </w:tcBorders>
            <w:shd w:val="clear" w:color="auto" w:fill="auto"/>
            <w:vAlign w:val="center"/>
          </w:tcPr>
          <w:p w14:paraId="7779B10B" w14:textId="3510A4E7" w:rsidR="00ED39D7" w:rsidRPr="00E51E13" w:rsidRDefault="00ED39D7" w:rsidP="00ED39D7">
            <w:pPr>
              <w:spacing w:after="0" w:line="240" w:lineRule="auto"/>
              <w:rPr>
                <w:rFonts w:ascii="Calibri" w:eastAsia="Times New Roman" w:hAnsi="Calibri" w:cs="Times New Roman"/>
                <w:b/>
                <w:bCs/>
                <w:i/>
                <w:iCs/>
                <w:color w:val="000000"/>
                <w:sz w:val="20"/>
                <w:szCs w:val="20"/>
              </w:rPr>
            </w:pPr>
            <w:r w:rsidRPr="003951DF">
              <w:rPr>
                <w:rFonts w:ascii="Calibri" w:eastAsia="Times New Roman" w:hAnsi="Calibri" w:cs="Times New Roman"/>
                <w:b/>
                <w:bCs/>
                <w:i/>
                <w:iCs/>
                <w:color w:val="000000"/>
                <w:sz w:val="20"/>
                <w:szCs w:val="20"/>
              </w:rPr>
              <w:t xml:space="preserve">GHG Reductions - Waste Heat / AB 1613 (2007): </w:t>
            </w:r>
            <w:r w:rsidRPr="003951DF">
              <w:rPr>
                <w:rFonts w:ascii="Calibri" w:eastAsia="Times New Roman" w:hAnsi="Calibri" w:cs="Times New Roman"/>
                <w:i/>
                <w:iCs/>
                <w:color w:val="000000"/>
                <w:sz w:val="20"/>
                <w:szCs w:val="20"/>
              </w:rPr>
              <w:t xml:space="preserve">Requires development of a program to allow any customer to utilize combined heat and power </w:t>
            </w:r>
            <w:proofErr w:type="gramStart"/>
            <w:r w:rsidRPr="003951DF">
              <w:rPr>
                <w:rFonts w:ascii="Calibri" w:eastAsia="Times New Roman" w:hAnsi="Calibri" w:cs="Times New Roman"/>
                <w:i/>
                <w:iCs/>
                <w:color w:val="000000"/>
                <w:sz w:val="20"/>
                <w:szCs w:val="20"/>
              </w:rPr>
              <w:t>systems, and</w:t>
            </w:r>
            <w:proofErr w:type="gramEnd"/>
            <w:r w:rsidRPr="003951DF">
              <w:rPr>
                <w:rFonts w:ascii="Calibri" w:eastAsia="Times New Roman" w:hAnsi="Calibri" w:cs="Times New Roman"/>
                <w:i/>
                <w:iCs/>
                <w:color w:val="000000"/>
                <w:sz w:val="20"/>
                <w:szCs w:val="20"/>
              </w:rPr>
              <w:t xml:space="preserve"> provides for the purchase of excess electricity that they may generate. </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center"/>
          </w:tcPr>
          <w:p w14:paraId="1289D861" w14:textId="5A930A68" w:rsidR="00ED39D7" w:rsidRPr="00E51E13" w:rsidRDefault="00ED39D7" w:rsidP="00ED39D7">
            <w:pPr>
              <w:spacing w:after="0" w:line="240" w:lineRule="auto"/>
              <w:rPr>
                <w:rFonts w:ascii="Calibri" w:eastAsia="Times New Roman" w:hAnsi="Calibri" w:cs="Times New Roman"/>
                <w:i/>
                <w:iCs/>
                <w:sz w:val="20"/>
                <w:szCs w:val="20"/>
              </w:rPr>
            </w:pPr>
            <w:r w:rsidRPr="003951DF">
              <w:rPr>
                <w:rFonts w:ascii="Calibri" w:eastAsia="Times New Roman" w:hAnsi="Calibri" w:cs="Times New Roman"/>
                <w:i/>
                <w:iCs/>
                <w:color w:val="000000"/>
                <w:sz w:val="20"/>
                <w:szCs w:val="20"/>
              </w:rPr>
              <w:t>Annual costs for tracking and administration, may have additional financial implications depending upon program development and participation levels: $100,000.</w:t>
            </w:r>
          </w:p>
        </w:tc>
        <w:tc>
          <w:tcPr>
            <w:tcW w:w="18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D3EAB93" w14:textId="48EA2CF1" w:rsidR="00ED39D7" w:rsidRPr="00E51E13" w:rsidRDefault="00ED39D7" w:rsidP="00ED39D7">
            <w:pPr>
              <w:spacing w:after="0" w:line="240" w:lineRule="auto"/>
              <w:jc w:val="center"/>
              <w:rPr>
                <w:rFonts w:ascii="Calibri" w:eastAsia="Times New Roman" w:hAnsi="Calibri" w:cs="Times New Roman"/>
                <w:sz w:val="20"/>
                <w:szCs w:val="20"/>
              </w:rPr>
            </w:pPr>
            <w:r w:rsidRPr="003951DF">
              <w:rPr>
                <w:rFonts w:ascii="Calibri" w:eastAsia="Times New Roman" w:hAnsi="Calibri" w:cs="Times New Roman"/>
                <w:color w:val="000000"/>
                <w:sz w:val="20"/>
                <w:szCs w:val="20"/>
              </w:rPr>
              <w:t>0.03% increase</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51C19029" w14:textId="77777777" w:rsidR="00ED39D7" w:rsidRPr="00E060C4" w:rsidRDefault="00ED39D7" w:rsidP="00ED39D7">
            <w:pPr>
              <w:spacing w:after="0" w:line="240" w:lineRule="auto"/>
              <w:rPr>
                <w:rFonts w:ascii="Calibri" w:eastAsia="Times New Roman" w:hAnsi="Calibri" w:cs="Times New Roman"/>
                <w:color w:val="000000"/>
                <w:sz w:val="20"/>
                <w:szCs w:val="20"/>
              </w:rPr>
            </w:pPr>
            <w:r w:rsidRPr="00E060C4">
              <w:rPr>
                <w:rFonts w:ascii="Calibri" w:eastAsia="Times New Roman" w:hAnsi="Calibri" w:cs="Times New Roman"/>
                <w:color w:val="000000"/>
                <w:sz w:val="20"/>
                <w:szCs w:val="20"/>
              </w:rPr>
              <w:t>Financial penalties not specified. Potential for civil suit for non-compliance. (Potentially could result in cost to implement and any damages attributed</w:t>
            </w:r>
          </w:p>
          <w:p w14:paraId="7848F1ED" w14:textId="09C462BE" w:rsidR="00ED39D7" w:rsidRPr="00706E3E" w:rsidRDefault="00ED39D7" w:rsidP="00ED39D7">
            <w:pPr>
              <w:spacing w:after="0" w:line="240" w:lineRule="auto"/>
              <w:rPr>
                <w:rFonts w:ascii="Calibri" w:eastAsia="Times New Roman" w:hAnsi="Calibri" w:cs="Times New Roman"/>
                <w:color w:val="000000"/>
                <w:sz w:val="18"/>
                <w:szCs w:val="18"/>
              </w:rPr>
            </w:pPr>
            <w:r w:rsidRPr="00E060C4">
              <w:rPr>
                <w:rFonts w:ascii="Calibri" w:eastAsia="Times New Roman" w:hAnsi="Calibri" w:cs="Times New Roman"/>
                <w:color w:val="000000"/>
                <w:sz w:val="20"/>
                <w:szCs w:val="20"/>
              </w:rPr>
              <w:t xml:space="preserve"> to noncompliance.)</w:t>
            </w:r>
          </w:p>
        </w:tc>
      </w:tr>
      <w:tr w:rsidR="00ED39D7" w:rsidRPr="00E51E13" w14:paraId="48AFFB08" w14:textId="77777777" w:rsidTr="00ED39D7">
        <w:trPr>
          <w:gridBefore w:val="1"/>
          <w:wBefore w:w="10" w:type="dxa"/>
          <w:trHeight w:val="1160"/>
        </w:trPr>
        <w:tc>
          <w:tcPr>
            <w:tcW w:w="554" w:type="dxa"/>
            <w:gridSpan w:val="2"/>
            <w:vMerge/>
            <w:tcBorders>
              <w:left w:val="single" w:sz="4" w:space="0" w:color="auto"/>
              <w:right w:val="single" w:sz="4" w:space="0" w:color="auto"/>
            </w:tcBorders>
            <w:shd w:val="clear" w:color="000000" w:fill="FDE9D9"/>
            <w:textDirection w:val="btLr"/>
            <w:vAlign w:val="center"/>
          </w:tcPr>
          <w:p w14:paraId="6F434D89" w14:textId="615A46A0" w:rsidR="00ED39D7" w:rsidRPr="00E51E13" w:rsidRDefault="00ED39D7" w:rsidP="00ED39D7">
            <w:pPr>
              <w:spacing w:after="0" w:line="240" w:lineRule="auto"/>
              <w:jc w:val="center"/>
              <w:rPr>
                <w:rFonts w:ascii="Calibri" w:eastAsia="Times New Roman" w:hAnsi="Calibri" w:cs="Times New Roman"/>
                <w:b/>
                <w:bCs/>
                <w:color w:val="000000"/>
              </w:rPr>
            </w:pPr>
          </w:p>
        </w:tc>
        <w:tc>
          <w:tcPr>
            <w:tcW w:w="5368" w:type="dxa"/>
            <w:tcBorders>
              <w:top w:val="single" w:sz="4" w:space="0" w:color="auto"/>
              <w:left w:val="single" w:sz="4" w:space="0" w:color="auto"/>
              <w:bottom w:val="single" w:sz="4" w:space="0" w:color="auto"/>
              <w:right w:val="single" w:sz="4" w:space="0" w:color="auto"/>
            </w:tcBorders>
            <w:shd w:val="clear" w:color="auto" w:fill="auto"/>
            <w:vAlign w:val="center"/>
          </w:tcPr>
          <w:p w14:paraId="258C8D65" w14:textId="77777777" w:rsidR="00ED39D7" w:rsidRDefault="00ED39D7" w:rsidP="00ED39D7">
            <w:pPr>
              <w:spacing w:after="0" w:line="240" w:lineRule="auto"/>
              <w:rPr>
                <w:rFonts w:ascii="Calibri" w:eastAsia="Times New Roman" w:hAnsi="Calibri" w:cs="Times New Roman"/>
                <w:i/>
                <w:iCs/>
                <w:color w:val="000000"/>
                <w:sz w:val="20"/>
                <w:szCs w:val="20"/>
              </w:rPr>
            </w:pPr>
            <w:r w:rsidRPr="00E51E13">
              <w:rPr>
                <w:rFonts w:ascii="Calibri" w:eastAsia="Times New Roman" w:hAnsi="Calibri" w:cs="Times New Roman"/>
                <w:b/>
                <w:bCs/>
                <w:i/>
                <w:iCs/>
                <w:color w:val="000000"/>
                <w:sz w:val="20"/>
                <w:szCs w:val="20"/>
              </w:rPr>
              <w:t xml:space="preserve">Sulfur Hexafluoride (SF6) / AB 32 (2006): </w:t>
            </w:r>
            <w:r w:rsidRPr="00E51E13">
              <w:rPr>
                <w:rFonts w:ascii="Calibri" w:eastAsia="Times New Roman" w:hAnsi="Calibri" w:cs="Times New Roman"/>
                <w:i/>
                <w:iCs/>
                <w:color w:val="000000"/>
                <w:sz w:val="20"/>
                <w:szCs w:val="20"/>
              </w:rPr>
              <w:t>Requires reductions of emissions of a gas used in electric system equipment</w:t>
            </w:r>
            <w:r>
              <w:rPr>
                <w:rFonts w:ascii="Calibri" w:eastAsia="Times New Roman" w:hAnsi="Calibri" w:cs="Times New Roman"/>
                <w:i/>
                <w:iCs/>
                <w:color w:val="000000"/>
                <w:sz w:val="20"/>
                <w:szCs w:val="20"/>
              </w:rPr>
              <w:t>.</w:t>
            </w:r>
          </w:p>
          <w:p w14:paraId="09A10833" w14:textId="77777777" w:rsidR="00ED39D7" w:rsidRDefault="00ED39D7" w:rsidP="00ED39D7">
            <w:pPr>
              <w:spacing w:after="0" w:line="240" w:lineRule="auto"/>
              <w:rPr>
                <w:rFonts w:ascii="Calibri" w:eastAsia="Times New Roman" w:hAnsi="Calibri" w:cs="Times New Roman"/>
                <w:b/>
                <w:bCs/>
                <w:i/>
                <w:iCs/>
                <w:color w:val="000000"/>
                <w:sz w:val="20"/>
                <w:szCs w:val="20"/>
              </w:rPr>
            </w:pPr>
          </w:p>
          <w:p w14:paraId="04026D7F" w14:textId="77777777" w:rsidR="00ED39D7" w:rsidRPr="00E51E13" w:rsidRDefault="00ED39D7" w:rsidP="00ED39D7">
            <w:pPr>
              <w:spacing w:after="0" w:line="240" w:lineRule="auto"/>
              <w:rPr>
                <w:rFonts w:ascii="Calibri" w:eastAsia="Times New Roman" w:hAnsi="Calibri" w:cs="Times New Roman"/>
                <w:b/>
                <w:bCs/>
                <w:i/>
                <w:iCs/>
                <w:color w:val="000000"/>
                <w:sz w:val="20"/>
                <w:szCs w:val="20"/>
              </w:rPr>
            </w:pPr>
          </w:p>
        </w:tc>
        <w:tc>
          <w:tcPr>
            <w:tcW w:w="3330" w:type="dxa"/>
            <w:tcBorders>
              <w:top w:val="single" w:sz="4" w:space="0" w:color="auto"/>
              <w:left w:val="single" w:sz="4" w:space="0" w:color="auto"/>
              <w:bottom w:val="single" w:sz="4" w:space="0" w:color="auto"/>
              <w:right w:val="single" w:sz="4" w:space="0" w:color="auto"/>
            </w:tcBorders>
            <w:shd w:val="clear" w:color="auto" w:fill="auto"/>
            <w:vAlign w:val="center"/>
          </w:tcPr>
          <w:p w14:paraId="6C2F43D3" w14:textId="77777777" w:rsidR="00ED39D7" w:rsidRPr="002D6647" w:rsidRDefault="00ED39D7" w:rsidP="00ED39D7">
            <w:pPr>
              <w:spacing w:after="0" w:line="240" w:lineRule="auto"/>
              <w:rPr>
                <w:rFonts w:ascii="Calibri" w:eastAsia="Times New Roman" w:hAnsi="Calibri" w:cs="Times New Roman"/>
                <w:sz w:val="20"/>
                <w:szCs w:val="20"/>
              </w:rPr>
            </w:pPr>
            <w:r w:rsidRPr="00E51E13">
              <w:rPr>
                <w:rFonts w:ascii="Calibri" w:eastAsia="Times New Roman" w:hAnsi="Calibri" w:cs="Times New Roman"/>
                <w:i/>
                <w:iCs/>
                <w:sz w:val="20"/>
                <w:szCs w:val="20"/>
              </w:rPr>
              <w:t>Monitoring and documentation of SF6 usage and annual reporting to California Air Resources Board beginning in 2012: $100,000.</w:t>
            </w:r>
          </w:p>
        </w:tc>
        <w:tc>
          <w:tcPr>
            <w:tcW w:w="18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C49F9AC" w14:textId="041E3E5D" w:rsidR="00ED39D7" w:rsidRPr="00E51E13" w:rsidRDefault="00ED39D7" w:rsidP="00ED39D7">
            <w:pPr>
              <w:spacing w:after="0" w:line="240" w:lineRule="auto"/>
              <w:jc w:val="center"/>
              <w:rPr>
                <w:rFonts w:ascii="Calibri" w:eastAsia="Times New Roman" w:hAnsi="Calibri" w:cs="Times New Roman"/>
                <w:sz w:val="20"/>
                <w:szCs w:val="20"/>
              </w:rPr>
            </w:pPr>
            <w:r w:rsidRPr="00E51E13">
              <w:rPr>
                <w:rFonts w:ascii="Calibri" w:eastAsia="Times New Roman" w:hAnsi="Calibri" w:cs="Times New Roman"/>
                <w:sz w:val="20"/>
                <w:szCs w:val="20"/>
              </w:rPr>
              <w:t xml:space="preserve">0.03% increase                                                      </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6CFC3DC8" w14:textId="77777777" w:rsidR="00ED39D7" w:rsidRPr="00706E3E" w:rsidRDefault="00ED39D7" w:rsidP="00ED39D7">
            <w:pPr>
              <w:spacing w:after="0" w:line="240" w:lineRule="auto"/>
              <w:rPr>
                <w:rFonts w:ascii="Calibri" w:hAnsi="Calibri" w:cs="Calibri"/>
                <w:sz w:val="18"/>
                <w:szCs w:val="18"/>
              </w:rPr>
            </w:pPr>
            <w:r w:rsidRPr="00706E3E">
              <w:rPr>
                <w:rFonts w:ascii="Calibri" w:eastAsia="Times New Roman" w:hAnsi="Calibri" w:cs="Times New Roman"/>
                <w:color w:val="000000"/>
                <w:sz w:val="18"/>
                <w:szCs w:val="18"/>
              </w:rPr>
              <w:t>Penalties of up to $250,000/day of violation and/or imprisonment. Potential additional financial penalty equivalent to the amount of any economic gain.</w:t>
            </w:r>
          </w:p>
        </w:tc>
      </w:tr>
      <w:tr w:rsidR="00ED39D7" w:rsidRPr="00E51E13" w14:paraId="5AEAADF8" w14:textId="77777777" w:rsidTr="00ED39D7">
        <w:trPr>
          <w:gridBefore w:val="1"/>
          <w:wBefore w:w="10" w:type="dxa"/>
          <w:trHeight w:val="1538"/>
        </w:trPr>
        <w:tc>
          <w:tcPr>
            <w:tcW w:w="554" w:type="dxa"/>
            <w:gridSpan w:val="2"/>
            <w:vMerge/>
            <w:tcBorders>
              <w:left w:val="single" w:sz="4" w:space="0" w:color="auto"/>
              <w:right w:val="single" w:sz="4" w:space="0" w:color="auto"/>
            </w:tcBorders>
            <w:shd w:val="clear" w:color="000000" w:fill="FDE9D9"/>
            <w:textDirection w:val="btLr"/>
            <w:vAlign w:val="center"/>
          </w:tcPr>
          <w:p w14:paraId="223E4FC1" w14:textId="77777777" w:rsidR="00ED39D7" w:rsidRPr="00E51E13" w:rsidRDefault="00ED39D7" w:rsidP="00ED39D7">
            <w:pPr>
              <w:spacing w:after="0" w:line="240" w:lineRule="auto"/>
              <w:jc w:val="center"/>
              <w:rPr>
                <w:rFonts w:ascii="Calibri" w:eastAsia="Times New Roman" w:hAnsi="Calibri" w:cs="Times New Roman"/>
                <w:b/>
                <w:bCs/>
                <w:color w:val="000000"/>
              </w:rPr>
            </w:pPr>
          </w:p>
        </w:tc>
        <w:tc>
          <w:tcPr>
            <w:tcW w:w="5368" w:type="dxa"/>
            <w:tcBorders>
              <w:top w:val="single" w:sz="4" w:space="0" w:color="auto"/>
              <w:left w:val="single" w:sz="4" w:space="0" w:color="auto"/>
              <w:bottom w:val="single" w:sz="4" w:space="0" w:color="auto"/>
              <w:right w:val="single" w:sz="4" w:space="0" w:color="auto"/>
            </w:tcBorders>
            <w:shd w:val="clear" w:color="auto" w:fill="auto"/>
            <w:vAlign w:val="center"/>
          </w:tcPr>
          <w:p w14:paraId="6A2B7075" w14:textId="77777777" w:rsidR="00ED39D7" w:rsidRDefault="00ED39D7" w:rsidP="00ED39D7">
            <w:pPr>
              <w:spacing w:after="0" w:line="240" w:lineRule="auto"/>
              <w:rPr>
                <w:rFonts w:ascii="Calibri" w:eastAsia="Times New Roman" w:hAnsi="Calibri" w:cs="Times New Roman"/>
                <w:i/>
                <w:iCs/>
                <w:color w:val="000000"/>
                <w:sz w:val="20"/>
                <w:szCs w:val="20"/>
              </w:rPr>
            </w:pPr>
            <w:r w:rsidRPr="00E51E13">
              <w:rPr>
                <w:rFonts w:ascii="Calibri" w:eastAsia="Times New Roman" w:hAnsi="Calibri" w:cs="Times New Roman"/>
                <w:b/>
                <w:bCs/>
                <w:i/>
                <w:iCs/>
                <w:color w:val="000000"/>
                <w:sz w:val="20"/>
                <w:szCs w:val="20"/>
              </w:rPr>
              <w:t xml:space="preserve">Long-Term Contract Restrictions for Generation / SB 1368 (2006): </w:t>
            </w:r>
            <w:r w:rsidRPr="00E51E13">
              <w:rPr>
                <w:rFonts w:ascii="Calibri" w:eastAsia="Times New Roman" w:hAnsi="Calibri" w:cs="Times New Roman"/>
                <w:i/>
                <w:iCs/>
                <w:color w:val="000000"/>
                <w:sz w:val="20"/>
                <w:szCs w:val="20"/>
              </w:rPr>
              <w:t xml:space="preserve">Prohibits utilities from </w:t>
            </w:r>
            <w:proofErr w:type="gramStart"/>
            <w:r w:rsidRPr="00E51E13">
              <w:rPr>
                <w:rFonts w:ascii="Calibri" w:eastAsia="Times New Roman" w:hAnsi="Calibri" w:cs="Times New Roman"/>
                <w:i/>
                <w:iCs/>
                <w:color w:val="000000"/>
                <w:sz w:val="20"/>
                <w:szCs w:val="20"/>
              </w:rPr>
              <w:t>entering into</w:t>
            </w:r>
            <w:proofErr w:type="gramEnd"/>
            <w:r w:rsidRPr="00E51E13">
              <w:rPr>
                <w:rFonts w:ascii="Calibri" w:eastAsia="Times New Roman" w:hAnsi="Calibri" w:cs="Times New Roman"/>
                <w:i/>
                <w:iCs/>
                <w:color w:val="000000"/>
                <w:sz w:val="20"/>
                <w:szCs w:val="20"/>
              </w:rPr>
              <w:t xml:space="preserve"> contracts for longer than 5 years for generation unless emissions levels are substantially reduced.</w:t>
            </w:r>
          </w:p>
          <w:p w14:paraId="4B865D87" w14:textId="77777777" w:rsidR="00ED39D7" w:rsidRPr="00E51E13" w:rsidRDefault="00ED39D7" w:rsidP="00ED39D7">
            <w:pPr>
              <w:spacing w:after="0" w:line="240" w:lineRule="auto"/>
              <w:rPr>
                <w:rFonts w:ascii="Calibri" w:eastAsia="Times New Roman" w:hAnsi="Calibri" w:cs="Times New Roman"/>
                <w:b/>
                <w:bCs/>
                <w:i/>
                <w:iCs/>
                <w:color w:val="000000"/>
                <w:sz w:val="20"/>
                <w:szCs w:val="20"/>
              </w:rPr>
            </w:pPr>
          </w:p>
        </w:tc>
        <w:tc>
          <w:tcPr>
            <w:tcW w:w="3330" w:type="dxa"/>
            <w:tcBorders>
              <w:top w:val="single" w:sz="4" w:space="0" w:color="auto"/>
              <w:left w:val="single" w:sz="4" w:space="0" w:color="auto"/>
              <w:bottom w:val="single" w:sz="4" w:space="0" w:color="auto"/>
              <w:right w:val="single" w:sz="4" w:space="0" w:color="auto"/>
            </w:tcBorders>
            <w:shd w:val="clear" w:color="auto" w:fill="auto"/>
            <w:vAlign w:val="center"/>
          </w:tcPr>
          <w:p w14:paraId="7CBEE9A4" w14:textId="77777777" w:rsidR="00ED39D7" w:rsidRPr="00E51E13" w:rsidRDefault="00ED39D7" w:rsidP="00ED39D7">
            <w:pPr>
              <w:spacing w:after="0" w:line="240" w:lineRule="auto"/>
              <w:rPr>
                <w:rFonts w:ascii="Calibri" w:eastAsia="Times New Roman" w:hAnsi="Calibri" w:cs="Times New Roman"/>
                <w:i/>
                <w:iCs/>
                <w:sz w:val="20"/>
                <w:szCs w:val="20"/>
              </w:rPr>
            </w:pPr>
            <w:r w:rsidRPr="00E51E13">
              <w:rPr>
                <w:rFonts w:ascii="Calibri" w:eastAsia="Times New Roman" w:hAnsi="Calibri" w:cs="Times New Roman"/>
                <w:i/>
                <w:iCs/>
                <w:sz w:val="20"/>
                <w:szCs w:val="20"/>
              </w:rPr>
              <w:t>Annual costs to monitor, verify compliance, and meet reporting requirements, as necessary: $100,000. Costs do not include those related to the inability to extend participation in coal based generating resources.</w:t>
            </w:r>
          </w:p>
        </w:tc>
        <w:tc>
          <w:tcPr>
            <w:tcW w:w="18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3164478" w14:textId="19C81661" w:rsidR="00ED39D7" w:rsidRPr="00E51E13" w:rsidRDefault="00ED39D7" w:rsidP="00ED39D7">
            <w:pPr>
              <w:spacing w:after="0" w:line="240" w:lineRule="auto"/>
              <w:jc w:val="center"/>
              <w:rPr>
                <w:rFonts w:ascii="Calibri" w:eastAsia="Times New Roman" w:hAnsi="Calibri" w:cs="Times New Roman"/>
                <w:sz w:val="20"/>
                <w:szCs w:val="20"/>
              </w:rPr>
            </w:pPr>
            <w:r w:rsidRPr="00E51E13">
              <w:rPr>
                <w:rFonts w:ascii="Calibri" w:eastAsia="Times New Roman" w:hAnsi="Calibri" w:cs="Times New Roman"/>
                <w:sz w:val="20"/>
                <w:szCs w:val="20"/>
              </w:rPr>
              <w:t>0.03% increase</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484D8E3A" w14:textId="77777777" w:rsidR="00ED39D7" w:rsidRPr="00706E3E" w:rsidRDefault="00ED39D7" w:rsidP="00ED39D7">
            <w:pPr>
              <w:spacing w:after="0" w:line="240" w:lineRule="auto"/>
              <w:rPr>
                <w:rFonts w:ascii="Calibri" w:eastAsia="Times New Roman" w:hAnsi="Calibri" w:cs="Times New Roman"/>
                <w:color w:val="000000"/>
                <w:sz w:val="18"/>
                <w:szCs w:val="18"/>
              </w:rPr>
            </w:pPr>
            <w:r w:rsidRPr="00706E3E">
              <w:rPr>
                <w:rFonts w:ascii="Calibri" w:eastAsia="Times New Roman" w:hAnsi="Calibri" w:cs="Times New Roman"/>
                <w:color w:val="000000"/>
                <w:sz w:val="18"/>
                <w:szCs w:val="18"/>
              </w:rPr>
              <w:t>Financial penalties not specified. Energy Commission may investigate and enforce provisions for failure to meet target.</w:t>
            </w:r>
          </w:p>
        </w:tc>
      </w:tr>
      <w:tr w:rsidR="00ED39D7" w:rsidRPr="00E51E13" w14:paraId="1D73B546" w14:textId="77777777" w:rsidTr="00ED39D7">
        <w:trPr>
          <w:gridBefore w:val="1"/>
          <w:wBefore w:w="10" w:type="dxa"/>
          <w:trHeight w:val="1538"/>
        </w:trPr>
        <w:tc>
          <w:tcPr>
            <w:tcW w:w="554" w:type="dxa"/>
            <w:gridSpan w:val="2"/>
            <w:vMerge/>
            <w:tcBorders>
              <w:left w:val="single" w:sz="4" w:space="0" w:color="auto"/>
              <w:bottom w:val="single" w:sz="4" w:space="0" w:color="auto"/>
              <w:right w:val="single" w:sz="4" w:space="0" w:color="auto"/>
            </w:tcBorders>
            <w:shd w:val="clear" w:color="000000" w:fill="FDE9D9"/>
            <w:textDirection w:val="btLr"/>
            <w:vAlign w:val="center"/>
          </w:tcPr>
          <w:p w14:paraId="606E3D9D" w14:textId="77777777" w:rsidR="00ED39D7" w:rsidRPr="00E51E13" w:rsidRDefault="00ED39D7" w:rsidP="00ED39D7">
            <w:pPr>
              <w:spacing w:after="0" w:line="240" w:lineRule="auto"/>
              <w:jc w:val="center"/>
              <w:rPr>
                <w:rFonts w:ascii="Calibri" w:eastAsia="Times New Roman" w:hAnsi="Calibri" w:cs="Times New Roman"/>
                <w:b/>
                <w:bCs/>
                <w:color w:val="000000"/>
              </w:rPr>
            </w:pPr>
          </w:p>
        </w:tc>
        <w:tc>
          <w:tcPr>
            <w:tcW w:w="5368" w:type="dxa"/>
            <w:tcBorders>
              <w:top w:val="single" w:sz="4" w:space="0" w:color="auto"/>
              <w:left w:val="single" w:sz="4" w:space="0" w:color="auto"/>
              <w:bottom w:val="single" w:sz="4" w:space="0" w:color="auto"/>
              <w:right w:val="single" w:sz="4" w:space="0" w:color="auto"/>
            </w:tcBorders>
            <w:shd w:val="clear" w:color="auto" w:fill="auto"/>
            <w:vAlign w:val="center"/>
          </w:tcPr>
          <w:p w14:paraId="003E99FD" w14:textId="0595B381" w:rsidR="00ED39D7" w:rsidRPr="00BF2498" w:rsidRDefault="00ED39D7" w:rsidP="00ED39D7">
            <w:pPr>
              <w:shd w:val="clear" w:color="auto" w:fill="FFFFFF"/>
              <w:spacing w:before="168" w:after="120" w:line="240" w:lineRule="auto"/>
              <w:textAlignment w:val="baseline"/>
              <w:outlineLvl w:val="0"/>
              <w:rPr>
                <w:rFonts w:cstheme="minorHAnsi"/>
                <w:sz w:val="20"/>
                <w:szCs w:val="20"/>
                <w:shd w:val="clear" w:color="auto" w:fill="FFFFFF"/>
              </w:rPr>
            </w:pPr>
            <w:r w:rsidRPr="00BF2498">
              <w:rPr>
                <w:rFonts w:ascii="Calibri" w:eastAsia="Times New Roman" w:hAnsi="Calibri" w:cs="Times New Roman"/>
                <w:b/>
                <w:bCs/>
                <w:i/>
                <w:iCs/>
                <w:color w:val="000000"/>
                <w:sz w:val="20"/>
                <w:szCs w:val="20"/>
              </w:rPr>
              <w:t xml:space="preserve">California Global Warming Solutions Act / AB 32 (2006): </w:t>
            </w:r>
            <w:r w:rsidRPr="00BF2498">
              <w:rPr>
                <w:rFonts w:ascii="Calibri" w:eastAsia="Times New Roman" w:hAnsi="Calibri" w:cs="Times New Roman"/>
                <w:i/>
                <w:iCs/>
                <w:color w:val="000000"/>
                <w:sz w:val="20"/>
                <w:szCs w:val="20"/>
              </w:rPr>
              <w:t xml:space="preserve">Establishes a statewide goal of reducing greenhouse gas emissions to 1990 levels by 2020 through various measures. </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center"/>
          </w:tcPr>
          <w:p w14:paraId="07182090" w14:textId="77777777" w:rsidR="00ED39D7" w:rsidRPr="00BF2498" w:rsidRDefault="00ED39D7" w:rsidP="00ED39D7">
            <w:pPr>
              <w:spacing w:after="0" w:line="240" w:lineRule="auto"/>
              <w:rPr>
                <w:rFonts w:ascii="Calibri" w:eastAsia="Times New Roman" w:hAnsi="Calibri" w:cs="Times New Roman"/>
                <w:i/>
                <w:iCs/>
                <w:sz w:val="20"/>
                <w:szCs w:val="20"/>
              </w:rPr>
            </w:pPr>
            <w:r w:rsidRPr="00BF2498">
              <w:rPr>
                <w:rFonts w:ascii="Calibri" w:eastAsia="Times New Roman" w:hAnsi="Calibri" w:cs="Times New Roman"/>
                <w:i/>
                <w:iCs/>
                <w:sz w:val="20"/>
                <w:szCs w:val="20"/>
              </w:rPr>
              <w:t xml:space="preserve">Annual cost of implementation for annual reporting and annual administrative fee to California Air Resources Board: $500,000. </w:t>
            </w:r>
          </w:p>
          <w:p w14:paraId="43A5DA00" w14:textId="77777777" w:rsidR="00ED39D7" w:rsidRPr="00BF2498" w:rsidRDefault="00ED39D7" w:rsidP="00ED39D7">
            <w:pPr>
              <w:spacing w:after="0" w:line="240" w:lineRule="auto"/>
              <w:rPr>
                <w:rFonts w:ascii="Calibri" w:eastAsia="Times New Roman" w:hAnsi="Calibri" w:cs="Times New Roman"/>
                <w:i/>
                <w:iCs/>
                <w:sz w:val="10"/>
                <w:szCs w:val="10"/>
              </w:rPr>
            </w:pPr>
          </w:p>
          <w:p w14:paraId="7CA62C3D" w14:textId="61863C7E" w:rsidR="00ED39D7" w:rsidRPr="00BF2498" w:rsidRDefault="00ED39D7" w:rsidP="00ED39D7">
            <w:pPr>
              <w:spacing w:after="0" w:line="240" w:lineRule="auto"/>
              <w:rPr>
                <w:rFonts w:ascii="Calibri" w:eastAsia="Times New Roman" w:hAnsi="Calibri" w:cs="Times New Roman"/>
                <w:i/>
                <w:iCs/>
                <w:sz w:val="20"/>
                <w:szCs w:val="20"/>
              </w:rPr>
            </w:pPr>
            <w:r w:rsidRPr="00BF2498">
              <w:rPr>
                <w:rFonts w:ascii="Calibri" w:eastAsia="Times New Roman" w:hAnsi="Calibri" w:cs="Times New Roman"/>
                <w:i/>
                <w:iCs/>
                <w:sz w:val="20"/>
                <w:szCs w:val="20"/>
              </w:rPr>
              <w:t xml:space="preserve">Annual cost for Cap &amp; Trade program </w:t>
            </w:r>
            <w:r w:rsidRPr="00BF2498">
              <w:rPr>
                <w:rFonts w:ascii="Calibri" w:hAnsi="Calibri"/>
                <w:i/>
                <w:sz w:val="20"/>
                <w:szCs w:val="20"/>
              </w:rPr>
              <w:t>through 2020</w:t>
            </w:r>
            <w:r w:rsidRPr="00BF2498">
              <w:rPr>
                <w:rFonts w:ascii="Calibri" w:eastAsia="Times New Roman" w:hAnsi="Calibri" w:cs="Times New Roman"/>
                <w:i/>
                <w:iCs/>
                <w:sz w:val="20"/>
                <w:szCs w:val="20"/>
              </w:rPr>
              <w:t xml:space="preserve">: $3 million to $5 million.   −−−−                                                                                                          (For related programs, see "RPS", "Energy Efficiency", "Sulfur Hexafluoride" for additional actions required under AB 32.                                                                                            </w:t>
            </w:r>
          </w:p>
        </w:tc>
        <w:tc>
          <w:tcPr>
            <w:tcW w:w="18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DFC1C3F" w14:textId="7938A55E" w:rsidR="00ED39D7" w:rsidRPr="00BF2498" w:rsidRDefault="00ED39D7" w:rsidP="00ED39D7">
            <w:pPr>
              <w:spacing w:after="0" w:line="240" w:lineRule="auto"/>
              <w:jc w:val="center"/>
              <w:rPr>
                <w:rFonts w:ascii="Calibri" w:eastAsia="Times New Roman" w:hAnsi="Calibri" w:cs="Times New Roman"/>
                <w:sz w:val="20"/>
                <w:szCs w:val="20"/>
              </w:rPr>
            </w:pPr>
            <w:r w:rsidRPr="00BF2498">
              <w:rPr>
                <w:rFonts w:ascii="Calibri" w:eastAsia="Times New Roman" w:hAnsi="Calibri" w:cs="Times New Roman"/>
                <w:sz w:val="20"/>
                <w:szCs w:val="20"/>
              </w:rPr>
              <w:t>2% increase</w:t>
            </w:r>
            <w:r w:rsidRPr="00BF2498">
              <w:rPr>
                <w:rFonts w:ascii="Calibri" w:eastAsia="Times New Roman" w:hAnsi="Calibri" w:cs="Times New Roman"/>
                <w:b/>
                <w:bCs/>
                <w:sz w:val="20"/>
                <w:szCs w:val="20"/>
              </w:rPr>
              <w:t xml:space="preserve">                                                                                 −−−−−                                      </w:t>
            </w:r>
            <w:r w:rsidRPr="00BF2498">
              <w:rPr>
                <w:rFonts w:ascii="Calibri" w:eastAsia="Times New Roman" w:hAnsi="Calibri" w:cs="Times New Roman"/>
                <w:sz w:val="20"/>
                <w:szCs w:val="20"/>
              </w:rPr>
              <w:t xml:space="preserve">                                                                                                     </w:t>
            </w:r>
            <w:r w:rsidRPr="00BF2498">
              <w:rPr>
                <w:rFonts w:ascii="Calibri" w:eastAsia="Times New Roman" w:hAnsi="Calibri" w:cs="Times New Roman"/>
                <w:sz w:val="16"/>
                <w:szCs w:val="16"/>
              </w:rPr>
              <w:t xml:space="preserve"> </w:t>
            </w:r>
            <w:r w:rsidRPr="00BF2498">
              <w:rPr>
                <w:rFonts w:ascii="Calibri" w:eastAsia="Times New Roman" w:hAnsi="Calibri" w:cs="Times New Roman"/>
                <w:sz w:val="18"/>
                <w:szCs w:val="18"/>
              </w:rPr>
              <w:t xml:space="preserve">For estimated rate impacts of  other related programs, see: "RPS"; "Energy Efficiency"; and  "Sulfur Hexafluoride"  </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1BD456F5" w14:textId="1AC6DE02" w:rsidR="00ED39D7" w:rsidRPr="00BF2498" w:rsidRDefault="00ED39D7" w:rsidP="00ED39D7">
            <w:pPr>
              <w:spacing w:after="0" w:line="240" w:lineRule="auto"/>
              <w:rPr>
                <w:rFonts w:ascii="Calibri" w:eastAsia="Times New Roman" w:hAnsi="Calibri" w:cs="Times New Roman"/>
                <w:sz w:val="18"/>
                <w:szCs w:val="18"/>
              </w:rPr>
            </w:pPr>
            <w:r w:rsidRPr="00BF2498">
              <w:rPr>
                <w:rFonts w:ascii="Calibri" w:hAnsi="Calibri" w:cs="Calibri"/>
                <w:sz w:val="20"/>
                <w:szCs w:val="20"/>
              </w:rPr>
              <w:t>For the Cap &amp; Trade Program, a penalty of four times the GHG allowance shortfall per day of non-compliance.</w:t>
            </w:r>
          </w:p>
        </w:tc>
      </w:tr>
    </w:tbl>
    <w:p w14:paraId="7820EFA9" w14:textId="12B38BEB" w:rsidR="00E060C4" w:rsidRDefault="000242EE" w:rsidP="00E060C4">
      <w:r>
        <w:t xml:space="preserve"> </w:t>
      </w:r>
      <w:r w:rsidR="00E060C4">
        <w:br w:type="page"/>
      </w:r>
    </w:p>
    <w:tbl>
      <w:tblPr>
        <w:tblW w:w="14472" w:type="dxa"/>
        <w:tblInd w:w="-162" w:type="dxa"/>
        <w:tblLook w:val="04A0" w:firstRow="1" w:lastRow="0" w:firstColumn="1" w:lastColumn="0" w:noHBand="0" w:noVBand="1"/>
      </w:tblPr>
      <w:tblGrid>
        <w:gridCol w:w="499"/>
        <w:gridCol w:w="5603"/>
        <w:gridCol w:w="3420"/>
        <w:gridCol w:w="1620"/>
        <w:gridCol w:w="3330"/>
      </w:tblGrid>
      <w:tr w:rsidR="000242EE" w:rsidRPr="00E51E13" w14:paraId="27CB2C29" w14:textId="77777777" w:rsidTr="00ED39D7">
        <w:trPr>
          <w:trHeight w:val="476"/>
        </w:trPr>
        <w:tc>
          <w:tcPr>
            <w:tcW w:w="6102" w:type="dxa"/>
            <w:gridSpan w:val="2"/>
            <w:tcBorders>
              <w:left w:val="nil"/>
              <w:bottom w:val="single" w:sz="4" w:space="0" w:color="auto"/>
              <w:right w:val="single" w:sz="4" w:space="0" w:color="auto"/>
            </w:tcBorders>
            <w:shd w:val="clear" w:color="auto" w:fill="auto"/>
            <w:noWrap/>
            <w:vAlign w:val="bottom"/>
            <w:hideMark/>
          </w:tcPr>
          <w:p w14:paraId="0146A136" w14:textId="2F54CEED" w:rsidR="000242EE" w:rsidRPr="00E51E13" w:rsidRDefault="000242EE" w:rsidP="0067642A">
            <w:pPr>
              <w:spacing w:after="0" w:line="240" w:lineRule="auto"/>
              <w:jc w:val="center"/>
              <w:rPr>
                <w:rFonts w:ascii="Calibri" w:eastAsia="Times New Roman" w:hAnsi="Calibri" w:cs="Times New Roman"/>
                <w:b/>
                <w:bCs/>
                <w:color w:val="000000"/>
                <w:sz w:val="18"/>
                <w:szCs w:val="18"/>
              </w:rPr>
            </w:pPr>
            <w:r>
              <w:lastRenderedPageBreak/>
              <w:br w:type="page"/>
            </w:r>
            <w:r w:rsidRPr="00E51E13">
              <w:rPr>
                <w:rFonts w:ascii="Calibri" w:eastAsia="Times New Roman" w:hAnsi="Calibri" w:cs="Times New Roman"/>
                <w:b/>
                <w:bCs/>
                <w:color w:val="000000"/>
                <w:sz w:val="18"/>
                <w:szCs w:val="18"/>
              </w:rPr>
              <w:t xml:space="preserve"> </w:t>
            </w:r>
          </w:p>
        </w:tc>
        <w:tc>
          <w:tcPr>
            <w:tcW w:w="3420" w:type="dxa"/>
            <w:tcBorders>
              <w:top w:val="single" w:sz="4" w:space="0" w:color="auto"/>
              <w:left w:val="single" w:sz="4" w:space="0" w:color="auto"/>
              <w:bottom w:val="single" w:sz="4" w:space="0" w:color="auto"/>
              <w:right w:val="single" w:sz="4" w:space="0" w:color="auto"/>
            </w:tcBorders>
            <w:shd w:val="clear" w:color="000000" w:fill="F2DCDB"/>
            <w:vAlign w:val="center"/>
            <w:hideMark/>
          </w:tcPr>
          <w:p w14:paraId="0DA356B5" w14:textId="77777777" w:rsidR="000242EE" w:rsidRDefault="000242EE" w:rsidP="0067642A">
            <w:pPr>
              <w:spacing w:after="0" w:line="240" w:lineRule="auto"/>
              <w:jc w:val="center"/>
              <w:rPr>
                <w:rFonts w:ascii="Calibri" w:eastAsia="Times New Roman" w:hAnsi="Calibri" w:cs="Times New Roman"/>
                <w:b/>
                <w:bCs/>
                <w:color w:val="000000"/>
              </w:rPr>
            </w:pPr>
            <w:r w:rsidRPr="00E51E13">
              <w:rPr>
                <w:rFonts w:ascii="Calibri" w:eastAsia="Times New Roman" w:hAnsi="Calibri" w:cs="Times New Roman"/>
                <w:b/>
                <w:bCs/>
                <w:color w:val="000000"/>
              </w:rPr>
              <w:t xml:space="preserve">Estimated Cost of </w:t>
            </w:r>
          </w:p>
          <w:p w14:paraId="4E42192C" w14:textId="77777777" w:rsidR="000242EE" w:rsidRPr="00E51E13" w:rsidRDefault="000242EE" w:rsidP="0067642A">
            <w:pPr>
              <w:spacing w:after="0" w:line="240" w:lineRule="auto"/>
              <w:jc w:val="center"/>
              <w:rPr>
                <w:rFonts w:ascii="Calibri" w:eastAsia="Times New Roman" w:hAnsi="Calibri" w:cs="Times New Roman"/>
                <w:b/>
                <w:bCs/>
                <w:color w:val="000000"/>
              </w:rPr>
            </w:pPr>
            <w:r w:rsidRPr="00E51E13">
              <w:rPr>
                <w:rFonts w:ascii="Calibri" w:eastAsia="Times New Roman" w:hAnsi="Calibri" w:cs="Times New Roman"/>
                <w:b/>
                <w:bCs/>
                <w:color w:val="000000"/>
              </w:rPr>
              <w:t>Implementation</w:t>
            </w:r>
          </w:p>
        </w:tc>
        <w:tc>
          <w:tcPr>
            <w:tcW w:w="1620" w:type="dxa"/>
            <w:tcBorders>
              <w:top w:val="single" w:sz="4" w:space="0" w:color="auto"/>
              <w:left w:val="nil"/>
              <w:bottom w:val="single" w:sz="4" w:space="0" w:color="auto"/>
              <w:right w:val="single" w:sz="4" w:space="0" w:color="auto"/>
            </w:tcBorders>
            <w:shd w:val="clear" w:color="000000" w:fill="E4DFEC"/>
            <w:vAlign w:val="center"/>
            <w:hideMark/>
          </w:tcPr>
          <w:p w14:paraId="58CC93E6" w14:textId="77777777" w:rsidR="000242EE" w:rsidRPr="00E51E13" w:rsidRDefault="000242EE" w:rsidP="0067642A">
            <w:pPr>
              <w:spacing w:after="0" w:line="240" w:lineRule="auto"/>
              <w:jc w:val="center"/>
              <w:rPr>
                <w:rFonts w:ascii="Calibri" w:eastAsia="Times New Roman" w:hAnsi="Calibri" w:cs="Times New Roman"/>
                <w:b/>
                <w:bCs/>
                <w:color w:val="000000"/>
              </w:rPr>
            </w:pPr>
            <w:r w:rsidRPr="00E51E13">
              <w:rPr>
                <w:rFonts w:ascii="Calibri" w:eastAsia="Times New Roman" w:hAnsi="Calibri" w:cs="Times New Roman"/>
                <w:b/>
                <w:bCs/>
                <w:color w:val="000000"/>
              </w:rPr>
              <w:t>Estimated Rate Impact</w:t>
            </w:r>
          </w:p>
        </w:tc>
        <w:tc>
          <w:tcPr>
            <w:tcW w:w="3330" w:type="dxa"/>
            <w:tcBorders>
              <w:top w:val="single" w:sz="4" w:space="0" w:color="auto"/>
              <w:left w:val="nil"/>
              <w:bottom w:val="single" w:sz="4" w:space="0" w:color="auto"/>
              <w:right w:val="single" w:sz="4" w:space="0" w:color="auto"/>
            </w:tcBorders>
            <w:shd w:val="clear" w:color="000000" w:fill="DAEEF3"/>
            <w:vAlign w:val="center"/>
            <w:hideMark/>
          </w:tcPr>
          <w:p w14:paraId="3B52B7B8" w14:textId="77777777" w:rsidR="000242EE" w:rsidRPr="00E51E13" w:rsidRDefault="000242EE" w:rsidP="00336EFA">
            <w:pPr>
              <w:spacing w:after="0" w:line="240" w:lineRule="auto"/>
              <w:jc w:val="center"/>
              <w:rPr>
                <w:rFonts w:ascii="Calibri" w:eastAsia="Times New Roman" w:hAnsi="Calibri" w:cs="Times New Roman"/>
                <w:b/>
                <w:bCs/>
                <w:color w:val="000000"/>
              </w:rPr>
            </w:pPr>
            <w:r w:rsidRPr="00E51E13">
              <w:rPr>
                <w:rFonts w:ascii="Calibri" w:eastAsia="Times New Roman" w:hAnsi="Calibri" w:cs="Times New Roman"/>
                <w:b/>
                <w:bCs/>
                <w:color w:val="000000"/>
              </w:rPr>
              <w:t>Penalties / Other  Potential Cost Impacts</w:t>
            </w:r>
          </w:p>
        </w:tc>
      </w:tr>
      <w:tr w:rsidR="000242EE" w:rsidRPr="00E51E13" w14:paraId="6A6D84B4" w14:textId="77777777" w:rsidTr="00ED39D7">
        <w:trPr>
          <w:trHeight w:val="3221"/>
        </w:trPr>
        <w:tc>
          <w:tcPr>
            <w:tcW w:w="499" w:type="dxa"/>
            <w:vMerge w:val="restart"/>
            <w:tcBorders>
              <w:left w:val="single" w:sz="4" w:space="0" w:color="auto"/>
              <w:bottom w:val="single" w:sz="4" w:space="0" w:color="auto"/>
              <w:right w:val="single" w:sz="4" w:space="0" w:color="auto"/>
            </w:tcBorders>
            <w:shd w:val="clear" w:color="000000" w:fill="DAEEF3"/>
            <w:textDirection w:val="btLr"/>
          </w:tcPr>
          <w:p w14:paraId="1BD14D8E" w14:textId="65E8615A" w:rsidR="000242EE" w:rsidRPr="00286AB5" w:rsidRDefault="000242EE" w:rsidP="00DB3E1A">
            <w:pPr>
              <w:spacing w:after="0" w:line="240" w:lineRule="auto"/>
              <w:jc w:val="center"/>
              <w:rPr>
                <w:rFonts w:ascii="Calibri" w:eastAsia="Times New Roman" w:hAnsi="Calibri" w:cs="Times New Roman"/>
                <w:b/>
                <w:bCs/>
              </w:rPr>
            </w:pPr>
            <w:r w:rsidRPr="00286AB5">
              <w:rPr>
                <w:rFonts w:ascii="Calibri" w:eastAsia="Times New Roman" w:hAnsi="Calibri" w:cs="Times New Roman"/>
                <w:b/>
                <w:bCs/>
              </w:rPr>
              <w:t>Renewable Portfolio Standard (RPS) / Carbon-Free Energy</w:t>
            </w:r>
          </w:p>
        </w:tc>
        <w:tc>
          <w:tcPr>
            <w:tcW w:w="5603" w:type="dxa"/>
            <w:vMerge w:val="restart"/>
            <w:tcBorders>
              <w:top w:val="single" w:sz="4" w:space="0" w:color="auto"/>
              <w:left w:val="single" w:sz="4" w:space="0" w:color="auto"/>
              <w:right w:val="single" w:sz="4" w:space="0" w:color="auto"/>
            </w:tcBorders>
            <w:shd w:val="clear" w:color="auto" w:fill="auto"/>
            <w:vAlign w:val="center"/>
          </w:tcPr>
          <w:p w14:paraId="01C0B647" w14:textId="361FB3D3" w:rsidR="000242EE" w:rsidRPr="00286AB5" w:rsidRDefault="000242EE" w:rsidP="00260147">
            <w:pPr>
              <w:spacing w:after="0"/>
              <w:rPr>
                <w:i/>
                <w:sz w:val="20"/>
                <w:szCs w:val="20"/>
              </w:rPr>
            </w:pPr>
            <w:r w:rsidRPr="00286AB5">
              <w:rPr>
                <w:rFonts w:ascii="Calibri" w:eastAsia="Times New Roman" w:hAnsi="Calibri" w:cs="Times New Roman"/>
                <w:b/>
                <w:bCs/>
                <w:i/>
                <w:iCs/>
                <w:sz w:val="20"/>
                <w:szCs w:val="20"/>
              </w:rPr>
              <w:t xml:space="preserve">100% Clean Energy Act / SB 100 (2018): </w:t>
            </w:r>
            <w:r w:rsidRPr="00286AB5">
              <w:rPr>
                <w:i/>
                <w:sz w:val="20"/>
                <w:szCs w:val="20"/>
              </w:rPr>
              <w:t xml:space="preserve">Would establish a </w:t>
            </w:r>
            <w:proofErr w:type="gramStart"/>
            <w:r w:rsidRPr="00286AB5">
              <w:rPr>
                <w:i/>
                <w:sz w:val="20"/>
                <w:szCs w:val="20"/>
              </w:rPr>
              <w:t>Renewable Portfolio Standard targets</w:t>
            </w:r>
            <w:proofErr w:type="gramEnd"/>
            <w:r w:rsidRPr="00286AB5">
              <w:rPr>
                <w:i/>
                <w:sz w:val="20"/>
                <w:szCs w:val="20"/>
              </w:rPr>
              <w:t xml:space="preserve"> of 50% by 2026 and 60% RPS by 2030; and a State planning policy of </w:t>
            </w:r>
            <w:r w:rsidRPr="00286AB5">
              <w:rPr>
                <w:i/>
                <w:sz w:val="20"/>
                <w:szCs w:val="20"/>
                <w:u w:val="single"/>
              </w:rPr>
              <w:t>supplying 100%</w:t>
            </w:r>
            <w:r w:rsidRPr="00286AB5">
              <w:rPr>
                <w:i/>
                <w:sz w:val="20"/>
                <w:szCs w:val="20"/>
              </w:rPr>
              <w:t xml:space="preserve"> of the State’s energy consumption with renewable and carbon-free resources by 2045</w:t>
            </w:r>
            <w:r w:rsidRPr="002E622F">
              <w:rPr>
                <w:i/>
                <w:sz w:val="20"/>
                <w:szCs w:val="20"/>
              </w:rPr>
              <w:t xml:space="preserve">. </w:t>
            </w:r>
            <w:r w:rsidRPr="002E622F">
              <w:rPr>
                <w:b/>
                <w:i/>
                <w:sz w:val="20"/>
                <w:szCs w:val="20"/>
              </w:rPr>
              <w:t>SB 1020 (2022)</w:t>
            </w:r>
            <w:r w:rsidRPr="002E622F">
              <w:rPr>
                <w:i/>
                <w:sz w:val="20"/>
                <w:szCs w:val="20"/>
              </w:rPr>
              <w:t xml:space="preserve"> established interim clean energy targets of 90% by 2035 and 95% by 2040; and expedited the State’s clean energy target to 100% by 2035.</w:t>
            </w:r>
          </w:p>
          <w:p w14:paraId="4798F9C2" w14:textId="5EF3E96F" w:rsidR="000242EE" w:rsidRPr="00286AB5" w:rsidRDefault="000242EE" w:rsidP="00B74230">
            <w:pPr>
              <w:rPr>
                <w:rFonts w:ascii="Calibri" w:eastAsia="Times New Roman" w:hAnsi="Calibri" w:cs="Times New Roman"/>
                <w:b/>
                <w:bCs/>
                <w:i/>
                <w:iCs/>
                <w:sz w:val="20"/>
                <w:szCs w:val="20"/>
              </w:rPr>
            </w:pPr>
            <w:r w:rsidRPr="00286AB5">
              <w:rPr>
                <w:rFonts w:ascii="Calibri" w:eastAsia="Times New Roman" w:hAnsi="Calibri" w:cs="Times New Roman"/>
                <w:b/>
                <w:bCs/>
                <w:i/>
                <w:iCs/>
                <w:sz w:val="20"/>
                <w:szCs w:val="20"/>
              </w:rPr>
              <w:t>Clean Energy and Pollution Reduction Act / SB 350 (2015):</w:t>
            </w:r>
            <w:r w:rsidRPr="00286AB5">
              <w:rPr>
                <w:rFonts w:ascii="Calibri" w:eastAsia="Times New Roman" w:hAnsi="Calibri" w:cs="Times New Roman"/>
                <w:bCs/>
                <w:i/>
                <w:iCs/>
                <w:sz w:val="20"/>
                <w:szCs w:val="20"/>
              </w:rPr>
              <w:t xml:space="preserve"> This law is intended to implement the Governor’s Climate Change Goals for 2030. Among other things, this law will increase the Renewable Portfolio Standard to 50% by December 2030 for all electric utilities. [For additional SB 350 impacts, see “Energy Efficiency” and “IRP” sections]</w:t>
            </w:r>
            <w:r w:rsidRPr="00286AB5">
              <w:rPr>
                <w:rFonts w:ascii="Calibri" w:eastAsia="Times New Roman" w:hAnsi="Calibri" w:cs="Times New Roman"/>
                <w:b/>
                <w:bCs/>
                <w:i/>
                <w:iCs/>
                <w:sz w:val="20"/>
                <w:szCs w:val="20"/>
              </w:rPr>
              <w:t xml:space="preserve"> Renewable Portfolio Standard (RPS) / SB1X 2 (2011): </w:t>
            </w:r>
            <w:r w:rsidRPr="00286AB5">
              <w:rPr>
                <w:rFonts w:ascii="Calibri" w:eastAsia="Times New Roman" w:hAnsi="Calibri" w:cs="Times New Roman"/>
                <w:i/>
                <w:sz w:val="20"/>
                <w:szCs w:val="20"/>
              </w:rPr>
              <w:t xml:space="preserve">This law requires that California utilities meet 33% of their customer's energy needs with renewable energy by the year 2020. The renewable energy requirements began in 2011 and require that specific increasing targets for the purchase of renewable energy be met by 2030. </w:t>
            </w:r>
            <w:r w:rsidRPr="00286AB5">
              <w:rPr>
                <w:rFonts w:ascii="Calibri" w:eastAsia="Times New Roman" w:hAnsi="Calibri" w:cs="Times New Roman"/>
                <w:i/>
                <w:strike/>
                <w:sz w:val="20"/>
                <w:szCs w:val="20"/>
              </w:rPr>
              <w:t>.</w:t>
            </w:r>
          </w:p>
        </w:tc>
        <w:tc>
          <w:tcPr>
            <w:tcW w:w="3420" w:type="dxa"/>
            <w:tcBorders>
              <w:top w:val="single" w:sz="4" w:space="0" w:color="auto"/>
              <w:left w:val="nil"/>
              <w:bottom w:val="single" w:sz="4" w:space="0" w:color="auto"/>
              <w:right w:val="single" w:sz="4" w:space="0" w:color="auto"/>
            </w:tcBorders>
            <w:shd w:val="clear" w:color="auto" w:fill="auto"/>
            <w:vAlign w:val="center"/>
          </w:tcPr>
          <w:p w14:paraId="6A92ADC3" w14:textId="77777777" w:rsidR="000242EE" w:rsidRPr="00BF2498" w:rsidRDefault="000242EE" w:rsidP="00260147">
            <w:pPr>
              <w:autoSpaceDE w:val="0"/>
              <w:autoSpaceDN w:val="0"/>
              <w:spacing w:after="0"/>
              <w:rPr>
                <w:rFonts w:ascii="Calibri" w:hAnsi="Calibri"/>
                <w:i/>
                <w:sz w:val="20"/>
                <w:szCs w:val="20"/>
              </w:rPr>
            </w:pPr>
            <w:r w:rsidRPr="00BF2498">
              <w:rPr>
                <w:rFonts w:ascii="Calibri" w:hAnsi="Calibri"/>
                <w:i/>
                <w:sz w:val="20"/>
                <w:szCs w:val="20"/>
              </w:rPr>
              <w:t>Annual average cost to achieve 50% RPS by 2026, and 60% RPS by 2030: $25 million.</w:t>
            </w:r>
          </w:p>
          <w:p w14:paraId="5A28995B" w14:textId="77777777" w:rsidR="000242EE" w:rsidRPr="00BF2498" w:rsidRDefault="000242EE" w:rsidP="00260147">
            <w:pPr>
              <w:autoSpaceDE w:val="0"/>
              <w:autoSpaceDN w:val="0"/>
              <w:spacing w:after="0"/>
              <w:rPr>
                <w:rFonts w:ascii="Calibri" w:hAnsi="Calibri"/>
                <w:i/>
                <w:sz w:val="10"/>
                <w:szCs w:val="10"/>
              </w:rPr>
            </w:pPr>
          </w:p>
          <w:p w14:paraId="52B251A8" w14:textId="57D03EB7" w:rsidR="000242EE" w:rsidRPr="00BF2498" w:rsidRDefault="000242EE" w:rsidP="00DC49DA">
            <w:pPr>
              <w:autoSpaceDE w:val="0"/>
              <w:autoSpaceDN w:val="0"/>
              <w:spacing w:after="0"/>
              <w:rPr>
                <w:rFonts w:ascii="Calibri" w:hAnsi="Calibri"/>
                <w:i/>
                <w:sz w:val="20"/>
                <w:szCs w:val="20"/>
              </w:rPr>
            </w:pPr>
            <w:r w:rsidRPr="00BF2498">
              <w:rPr>
                <w:rFonts w:ascii="Calibri" w:hAnsi="Calibri"/>
                <w:i/>
                <w:sz w:val="20"/>
                <w:szCs w:val="20"/>
              </w:rPr>
              <w:t>Cost to achieve 100% renewables and carbon-free by 2045 is unknown, as it will depend on future State policies.</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1DF36D21" w14:textId="7E41058F" w:rsidR="000242EE" w:rsidRPr="00BF2498" w:rsidRDefault="000242EE" w:rsidP="009F7DBC">
            <w:pPr>
              <w:autoSpaceDE w:val="0"/>
              <w:autoSpaceDN w:val="0"/>
              <w:jc w:val="center"/>
              <w:rPr>
                <w:rFonts w:ascii="Calibri" w:eastAsia="Times New Roman" w:hAnsi="Calibri" w:cs="Times New Roman"/>
                <w:sz w:val="20"/>
                <w:szCs w:val="20"/>
              </w:rPr>
            </w:pPr>
            <w:r w:rsidRPr="00BF2498">
              <w:rPr>
                <w:rFonts w:ascii="Calibri" w:hAnsi="Calibri"/>
                <w:sz w:val="20"/>
                <w:szCs w:val="20"/>
              </w:rPr>
              <w:t>3% to 4% increase for 60% RPS by 2030</w:t>
            </w:r>
          </w:p>
        </w:tc>
        <w:tc>
          <w:tcPr>
            <w:tcW w:w="3330" w:type="dxa"/>
            <w:vMerge w:val="restart"/>
            <w:tcBorders>
              <w:top w:val="single" w:sz="4" w:space="0" w:color="auto"/>
              <w:left w:val="single" w:sz="4" w:space="0" w:color="auto"/>
              <w:right w:val="single" w:sz="4" w:space="0" w:color="auto"/>
            </w:tcBorders>
            <w:shd w:val="clear" w:color="auto" w:fill="auto"/>
            <w:vAlign w:val="center"/>
          </w:tcPr>
          <w:p w14:paraId="0A37A055" w14:textId="77777777" w:rsidR="000242EE" w:rsidRPr="00BF2498" w:rsidRDefault="000242EE" w:rsidP="00DB3E1A">
            <w:pPr>
              <w:spacing w:after="0" w:line="240" w:lineRule="auto"/>
              <w:rPr>
                <w:rFonts w:ascii="Calibri" w:eastAsia="Times New Roman" w:hAnsi="Calibri" w:cs="Times New Roman"/>
                <w:sz w:val="20"/>
                <w:szCs w:val="20"/>
              </w:rPr>
            </w:pPr>
            <w:r w:rsidRPr="00BF2498">
              <w:rPr>
                <w:rFonts w:ascii="Calibri" w:eastAsia="Times New Roman" w:hAnsi="Calibri" w:cs="Times New Roman"/>
                <w:sz w:val="20"/>
                <w:szCs w:val="20"/>
              </w:rPr>
              <w:t xml:space="preserve">Financial penalties not specified; however, the current CPUC minimum penalty for non-compliance is $50 per MWh. Potential for civil suit for non-compliance. </w:t>
            </w:r>
          </w:p>
          <w:p w14:paraId="1EAE4F53" w14:textId="130E8B0A" w:rsidR="000242EE" w:rsidRPr="00BF2498" w:rsidRDefault="000242EE" w:rsidP="00DB3E1A">
            <w:pPr>
              <w:spacing w:after="0" w:line="240" w:lineRule="auto"/>
              <w:rPr>
                <w:rFonts w:ascii="Calibri" w:eastAsia="Times New Roman" w:hAnsi="Calibri" w:cs="Times New Roman"/>
                <w:sz w:val="20"/>
                <w:szCs w:val="20"/>
              </w:rPr>
            </w:pPr>
            <w:r w:rsidRPr="00BF2498">
              <w:rPr>
                <w:rFonts w:ascii="Calibri" w:eastAsia="Times New Roman" w:hAnsi="Calibri" w:cs="Times New Roman"/>
                <w:sz w:val="20"/>
                <w:szCs w:val="20"/>
              </w:rPr>
              <w:t>(Potentially could result in cost to implement and any</w:t>
            </w:r>
            <w:r w:rsidRPr="00BF2498">
              <w:rPr>
                <w:rFonts w:ascii="Calibri" w:eastAsia="Times New Roman" w:hAnsi="Calibri" w:cs="Times New Roman"/>
                <w:sz w:val="20"/>
                <w:szCs w:val="20"/>
              </w:rPr>
              <w:br w:type="page"/>
              <w:t xml:space="preserve"> damages attributed to noncompliance.)</w:t>
            </w:r>
          </w:p>
        </w:tc>
      </w:tr>
      <w:tr w:rsidR="000242EE" w:rsidRPr="00E51E13" w14:paraId="4C98850F" w14:textId="77777777" w:rsidTr="00ED39D7">
        <w:trPr>
          <w:trHeight w:val="1889"/>
        </w:trPr>
        <w:tc>
          <w:tcPr>
            <w:tcW w:w="499" w:type="dxa"/>
            <w:vMerge/>
            <w:tcBorders>
              <w:left w:val="single" w:sz="4" w:space="0" w:color="auto"/>
              <w:bottom w:val="single" w:sz="4" w:space="0" w:color="auto"/>
              <w:right w:val="single" w:sz="4" w:space="0" w:color="auto"/>
            </w:tcBorders>
            <w:shd w:val="clear" w:color="000000" w:fill="DAEEF3"/>
            <w:textDirection w:val="btLr"/>
          </w:tcPr>
          <w:p w14:paraId="2FCBFF40" w14:textId="77777777" w:rsidR="000242EE" w:rsidRPr="00E51E13" w:rsidRDefault="000242EE" w:rsidP="00DB3E1A">
            <w:pPr>
              <w:spacing w:after="0" w:line="240" w:lineRule="auto"/>
              <w:jc w:val="center"/>
              <w:rPr>
                <w:rFonts w:ascii="Calibri" w:eastAsia="Times New Roman" w:hAnsi="Calibri" w:cs="Times New Roman"/>
                <w:b/>
                <w:bCs/>
                <w:color w:val="000000"/>
              </w:rPr>
            </w:pPr>
          </w:p>
        </w:tc>
        <w:tc>
          <w:tcPr>
            <w:tcW w:w="5603" w:type="dxa"/>
            <w:vMerge/>
            <w:tcBorders>
              <w:left w:val="single" w:sz="4" w:space="0" w:color="auto"/>
              <w:bottom w:val="nil"/>
              <w:right w:val="single" w:sz="4" w:space="0" w:color="auto"/>
            </w:tcBorders>
            <w:shd w:val="clear" w:color="auto" w:fill="auto"/>
            <w:vAlign w:val="center"/>
          </w:tcPr>
          <w:p w14:paraId="16DC88A5" w14:textId="7F6B8819" w:rsidR="000242EE" w:rsidRPr="00EC020C" w:rsidRDefault="000242EE" w:rsidP="00D87976">
            <w:pPr>
              <w:spacing w:after="0" w:line="240" w:lineRule="auto"/>
              <w:rPr>
                <w:rFonts w:ascii="Calibri" w:eastAsia="Times New Roman" w:hAnsi="Calibri" w:cs="Times New Roman"/>
                <w:sz w:val="20"/>
                <w:szCs w:val="20"/>
              </w:rPr>
            </w:pPr>
          </w:p>
        </w:tc>
        <w:tc>
          <w:tcPr>
            <w:tcW w:w="3420" w:type="dxa"/>
            <w:tcBorders>
              <w:top w:val="single" w:sz="4" w:space="0" w:color="auto"/>
              <w:left w:val="nil"/>
              <w:bottom w:val="single" w:sz="4" w:space="0" w:color="auto"/>
              <w:right w:val="single" w:sz="4" w:space="0" w:color="auto"/>
            </w:tcBorders>
            <w:shd w:val="clear" w:color="auto" w:fill="auto"/>
            <w:vAlign w:val="center"/>
          </w:tcPr>
          <w:p w14:paraId="5A27DF7E" w14:textId="77777777" w:rsidR="000242EE" w:rsidRPr="00BF2498" w:rsidRDefault="000242EE" w:rsidP="000E2262">
            <w:pPr>
              <w:autoSpaceDE w:val="0"/>
              <w:autoSpaceDN w:val="0"/>
              <w:spacing w:after="0"/>
              <w:rPr>
                <w:rFonts w:ascii="Calibri" w:hAnsi="Calibri"/>
                <w:i/>
                <w:sz w:val="20"/>
                <w:szCs w:val="20"/>
              </w:rPr>
            </w:pPr>
            <w:r w:rsidRPr="00BF2498">
              <w:rPr>
                <w:rFonts w:ascii="Calibri" w:hAnsi="Calibri"/>
                <w:i/>
                <w:sz w:val="20"/>
                <w:szCs w:val="20"/>
              </w:rPr>
              <w:t xml:space="preserve">Annual average cost to add additional renewable resources to meet a 50% RPS by 2030: $51 million. </w:t>
            </w:r>
          </w:p>
          <w:p w14:paraId="08D4A788" w14:textId="68E66A8E" w:rsidR="000242EE" w:rsidRPr="00BF2498" w:rsidRDefault="000242EE" w:rsidP="00DB3E1A">
            <w:pPr>
              <w:spacing w:after="0" w:line="240" w:lineRule="auto"/>
              <w:rPr>
                <w:rFonts w:ascii="Calibri" w:hAnsi="Calibri"/>
                <w:i/>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05981786" w14:textId="77777777" w:rsidR="000242EE" w:rsidRPr="00BF2498" w:rsidRDefault="000242EE" w:rsidP="000E2262">
            <w:pPr>
              <w:spacing w:after="0" w:line="240" w:lineRule="auto"/>
              <w:jc w:val="center"/>
              <w:rPr>
                <w:rFonts w:ascii="Calibri" w:eastAsia="Times New Roman" w:hAnsi="Calibri" w:cs="Times New Roman"/>
                <w:sz w:val="20"/>
                <w:szCs w:val="20"/>
              </w:rPr>
            </w:pPr>
            <w:r w:rsidRPr="00BF2498">
              <w:rPr>
                <w:rFonts w:ascii="Calibri" w:eastAsia="Times New Roman" w:hAnsi="Calibri" w:cs="Times New Roman"/>
                <w:sz w:val="20"/>
                <w:szCs w:val="20"/>
              </w:rPr>
              <w:t>10% to 14% increase from 2021 to 2030</w:t>
            </w:r>
          </w:p>
          <w:p w14:paraId="723AC017" w14:textId="65E605F6" w:rsidR="000242EE" w:rsidRPr="00BF2498" w:rsidRDefault="000242EE" w:rsidP="00DB3E1A">
            <w:pPr>
              <w:spacing w:after="0" w:line="240" w:lineRule="auto"/>
              <w:jc w:val="center"/>
              <w:rPr>
                <w:rFonts w:ascii="Calibri" w:eastAsia="Times New Roman" w:hAnsi="Calibri" w:cs="Times New Roman"/>
                <w:sz w:val="20"/>
                <w:szCs w:val="20"/>
              </w:rPr>
            </w:pPr>
          </w:p>
        </w:tc>
        <w:tc>
          <w:tcPr>
            <w:tcW w:w="3330" w:type="dxa"/>
            <w:vMerge/>
            <w:tcBorders>
              <w:left w:val="single" w:sz="4" w:space="0" w:color="auto"/>
              <w:bottom w:val="nil"/>
              <w:right w:val="single" w:sz="4" w:space="0" w:color="auto"/>
            </w:tcBorders>
            <w:shd w:val="clear" w:color="auto" w:fill="auto"/>
            <w:vAlign w:val="center"/>
          </w:tcPr>
          <w:p w14:paraId="2F8119F0" w14:textId="0460A21B" w:rsidR="000242EE" w:rsidRPr="00BF2498" w:rsidRDefault="000242EE" w:rsidP="00DB3E1A">
            <w:pPr>
              <w:spacing w:after="0" w:line="240" w:lineRule="auto"/>
              <w:rPr>
                <w:rFonts w:ascii="Calibri" w:eastAsia="Times New Roman" w:hAnsi="Calibri" w:cs="Times New Roman"/>
                <w:sz w:val="20"/>
                <w:szCs w:val="20"/>
              </w:rPr>
            </w:pPr>
          </w:p>
        </w:tc>
      </w:tr>
      <w:tr w:rsidR="000242EE" w:rsidRPr="00E51E13" w14:paraId="60DC710E" w14:textId="77777777" w:rsidTr="00ED39D7">
        <w:trPr>
          <w:trHeight w:val="2429"/>
        </w:trPr>
        <w:tc>
          <w:tcPr>
            <w:tcW w:w="499" w:type="dxa"/>
            <w:vMerge/>
            <w:tcBorders>
              <w:left w:val="single" w:sz="4" w:space="0" w:color="auto"/>
              <w:bottom w:val="single" w:sz="4" w:space="0" w:color="auto"/>
              <w:right w:val="single" w:sz="4" w:space="0" w:color="auto"/>
            </w:tcBorders>
            <w:vAlign w:val="center"/>
            <w:hideMark/>
          </w:tcPr>
          <w:p w14:paraId="2A481431" w14:textId="77777777" w:rsidR="000242EE" w:rsidRPr="00E51E13" w:rsidRDefault="000242EE" w:rsidP="00DB3E1A">
            <w:pPr>
              <w:spacing w:after="0" w:line="240" w:lineRule="auto"/>
              <w:rPr>
                <w:rFonts w:ascii="Calibri" w:eastAsia="Times New Roman" w:hAnsi="Calibri" w:cs="Times New Roman"/>
                <w:b/>
                <w:bCs/>
                <w:color w:val="000000"/>
              </w:rPr>
            </w:pPr>
          </w:p>
        </w:tc>
        <w:tc>
          <w:tcPr>
            <w:tcW w:w="5603" w:type="dxa"/>
            <w:vMerge/>
            <w:tcBorders>
              <w:left w:val="single" w:sz="4" w:space="0" w:color="auto"/>
              <w:bottom w:val="single" w:sz="4" w:space="0" w:color="auto"/>
              <w:right w:val="single" w:sz="4" w:space="0" w:color="auto"/>
            </w:tcBorders>
            <w:vAlign w:val="center"/>
            <w:hideMark/>
          </w:tcPr>
          <w:p w14:paraId="1AA88A11" w14:textId="77777777" w:rsidR="000242EE" w:rsidRPr="00E51E13" w:rsidRDefault="000242EE" w:rsidP="00DB3E1A">
            <w:pPr>
              <w:spacing w:after="0" w:line="240" w:lineRule="auto"/>
              <w:rPr>
                <w:rFonts w:ascii="Calibri" w:eastAsia="Times New Roman" w:hAnsi="Calibri" w:cs="Times New Roman"/>
                <w:i/>
                <w:iCs/>
                <w:color w:val="000000"/>
                <w:sz w:val="20"/>
                <w:szCs w:val="20"/>
              </w:rPr>
            </w:pPr>
          </w:p>
        </w:tc>
        <w:tc>
          <w:tcPr>
            <w:tcW w:w="3420" w:type="dxa"/>
            <w:tcBorders>
              <w:top w:val="single" w:sz="4" w:space="0" w:color="auto"/>
              <w:left w:val="nil"/>
              <w:bottom w:val="single" w:sz="4" w:space="0" w:color="auto"/>
              <w:right w:val="single" w:sz="4" w:space="0" w:color="auto"/>
            </w:tcBorders>
            <w:shd w:val="clear" w:color="auto" w:fill="auto"/>
            <w:vAlign w:val="center"/>
            <w:hideMark/>
          </w:tcPr>
          <w:p w14:paraId="4EC5688C" w14:textId="3471AB46" w:rsidR="000242EE" w:rsidRPr="00BF2498" w:rsidRDefault="000242EE" w:rsidP="00DB3E1A">
            <w:pPr>
              <w:spacing w:after="0" w:line="240" w:lineRule="auto"/>
              <w:rPr>
                <w:rFonts w:ascii="Calibri" w:eastAsia="Times New Roman" w:hAnsi="Calibri" w:cs="Times New Roman"/>
                <w:i/>
                <w:iCs/>
                <w:sz w:val="20"/>
                <w:szCs w:val="20"/>
              </w:rPr>
            </w:pPr>
            <w:r w:rsidRPr="00BF2498">
              <w:rPr>
                <w:rFonts w:ascii="Calibri" w:eastAsia="Times New Roman" w:hAnsi="Calibri" w:cs="Times New Roman"/>
                <w:i/>
                <w:iCs/>
                <w:sz w:val="20"/>
                <w:szCs w:val="20"/>
              </w:rPr>
              <w:t>Annual average cost to procure renewable</w:t>
            </w:r>
            <w:r w:rsidRPr="00BF2498">
              <w:rPr>
                <w:rFonts w:ascii="Calibri" w:eastAsia="Times New Roman" w:hAnsi="Calibri" w:cs="Times New Roman"/>
                <w:i/>
                <w:iCs/>
                <w:sz w:val="20"/>
                <w:szCs w:val="20"/>
              </w:rPr>
              <w:br w:type="page"/>
              <w:t xml:space="preserve"> resources to meet a target of 60% RPS by 2030:  $50 million.</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212EF7" w14:textId="15F76962" w:rsidR="000242EE" w:rsidRPr="00BF2498" w:rsidRDefault="000242EE" w:rsidP="00B45D43">
            <w:pPr>
              <w:spacing w:after="0" w:line="240" w:lineRule="auto"/>
              <w:jc w:val="center"/>
              <w:rPr>
                <w:rFonts w:ascii="Calibri" w:eastAsia="Times New Roman" w:hAnsi="Calibri" w:cs="Times New Roman"/>
                <w:sz w:val="20"/>
                <w:szCs w:val="20"/>
              </w:rPr>
            </w:pPr>
            <w:r w:rsidRPr="00BF2498">
              <w:rPr>
                <w:rFonts w:ascii="Calibri" w:eastAsia="Times New Roman" w:hAnsi="Calibri" w:cs="Times New Roman"/>
                <w:sz w:val="20"/>
                <w:szCs w:val="20"/>
              </w:rPr>
              <w:t>7% to 12% increase from  2020 through 2030</w:t>
            </w:r>
          </w:p>
          <w:p w14:paraId="064897D0" w14:textId="4F929830" w:rsidR="000242EE" w:rsidRPr="00BF2498" w:rsidRDefault="000242EE" w:rsidP="00B45D43">
            <w:pPr>
              <w:spacing w:after="0" w:line="240" w:lineRule="auto"/>
              <w:jc w:val="center"/>
              <w:rPr>
                <w:rFonts w:ascii="Calibri" w:eastAsia="Times New Roman" w:hAnsi="Calibri" w:cs="Times New Roman"/>
                <w:sz w:val="20"/>
                <w:szCs w:val="20"/>
              </w:rPr>
            </w:pPr>
            <w:r w:rsidRPr="00BF2498">
              <w:rPr>
                <w:rFonts w:ascii="Calibri" w:eastAsia="Times New Roman" w:hAnsi="Calibri" w:cs="Times New Roman"/>
                <w:sz w:val="20"/>
                <w:szCs w:val="20"/>
              </w:rPr>
              <w:t>(12% to 17% overall increase from 2002 to 2030)</w:t>
            </w:r>
          </w:p>
        </w:tc>
        <w:tc>
          <w:tcPr>
            <w:tcW w:w="3330" w:type="dxa"/>
            <w:vMerge/>
            <w:tcBorders>
              <w:left w:val="single" w:sz="4" w:space="0" w:color="auto"/>
              <w:bottom w:val="single" w:sz="4" w:space="0" w:color="auto"/>
              <w:right w:val="single" w:sz="4" w:space="0" w:color="auto"/>
            </w:tcBorders>
            <w:vAlign w:val="center"/>
            <w:hideMark/>
          </w:tcPr>
          <w:p w14:paraId="29F4C128" w14:textId="77777777" w:rsidR="000242EE" w:rsidRPr="00BF2498" w:rsidRDefault="000242EE" w:rsidP="00DB3E1A">
            <w:pPr>
              <w:spacing w:after="0" w:line="240" w:lineRule="auto"/>
              <w:rPr>
                <w:rFonts w:ascii="Calibri" w:eastAsia="Times New Roman" w:hAnsi="Calibri" w:cs="Times New Roman"/>
                <w:color w:val="000000"/>
                <w:sz w:val="20"/>
                <w:szCs w:val="20"/>
              </w:rPr>
            </w:pPr>
          </w:p>
        </w:tc>
      </w:tr>
    </w:tbl>
    <w:p w14:paraId="5B69650E" w14:textId="77777777" w:rsidR="00A746E0" w:rsidRDefault="00A746E0">
      <w:r>
        <w:br w:type="page"/>
      </w:r>
    </w:p>
    <w:tbl>
      <w:tblPr>
        <w:tblW w:w="14477" w:type="dxa"/>
        <w:tblInd w:w="-167" w:type="dxa"/>
        <w:tblLook w:val="04A0" w:firstRow="1" w:lastRow="0" w:firstColumn="1" w:lastColumn="0" w:noHBand="0" w:noVBand="1"/>
      </w:tblPr>
      <w:tblGrid>
        <w:gridCol w:w="498"/>
        <w:gridCol w:w="5609"/>
        <w:gridCol w:w="3330"/>
        <w:gridCol w:w="1800"/>
        <w:gridCol w:w="3240"/>
      </w:tblGrid>
      <w:tr w:rsidR="000242EE" w:rsidRPr="00E51E13" w14:paraId="1D7414CF" w14:textId="77777777" w:rsidTr="00ED39D7">
        <w:trPr>
          <w:trHeight w:val="620"/>
        </w:trPr>
        <w:tc>
          <w:tcPr>
            <w:tcW w:w="498" w:type="dxa"/>
            <w:tcBorders>
              <w:bottom w:val="single" w:sz="4" w:space="0" w:color="auto"/>
            </w:tcBorders>
            <w:vAlign w:val="center"/>
          </w:tcPr>
          <w:p w14:paraId="71F32758" w14:textId="77777777" w:rsidR="000242EE" w:rsidRPr="00E51E13" w:rsidRDefault="000242EE" w:rsidP="00A746E0">
            <w:pPr>
              <w:spacing w:after="0" w:line="240" w:lineRule="auto"/>
              <w:rPr>
                <w:rFonts w:ascii="Calibri" w:eastAsia="Times New Roman" w:hAnsi="Calibri" w:cs="Times New Roman"/>
                <w:b/>
                <w:bCs/>
                <w:color w:val="000000"/>
              </w:rPr>
            </w:pPr>
          </w:p>
        </w:tc>
        <w:tc>
          <w:tcPr>
            <w:tcW w:w="5609" w:type="dxa"/>
            <w:tcBorders>
              <w:bottom w:val="single" w:sz="4" w:space="0" w:color="auto"/>
              <w:right w:val="single" w:sz="4" w:space="0" w:color="auto"/>
            </w:tcBorders>
            <w:vAlign w:val="bottom"/>
          </w:tcPr>
          <w:p w14:paraId="18395D59" w14:textId="6DEA04C3" w:rsidR="000242EE" w:rsidRPr="007C2874" w:rsidRDefault="000242EE" w:rsidP="00A746E0">
            <w:pPr>
              <w:spacing w:after="0" w:line="240" w:lineRule="auto"/>
              <w:rPr>
                <w:rFonts w:ascii="Calibri" w:eastAsia="Times New Roman" w:hAnsi="Calibri" w:cs="Times New Roman"/>
                <w:b/>
                <w:bCs/>
                <w:i/>
                <w:iCs/>
                <w:strike/>
                <w:color w:val="000000"/>
                <w:sz w:val="20"/>
                <w:szCs w:val="20"/>
              </w:rPr>
            </w:pPr>
            <w:r w:rsidRPr="00E51E13">
              <w:rPr>
                <w:rFonts w:ascii="Calibri" w:eastAsia="Times New Roman" w:hAnsi="Calibri" w:cs="Times New Roman"/>
                <w:b/>
                <w:bCs/>
                <w:color w:val="000000"/>
                <w:sz w:val="18"/>
                <w:szCs w:val="18"/>
              </w:rPr>
              <w:t xml:space="preserve"> </w:t>
            </w:r>
          </w:p>
        </w:tc>
        <w:tc>
          <w:tcPr>
            <w:tcW w:w="3330"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45C59A16" w14:textId="393A4D2C" w:rsidR="000242EE" w:rsidRDefault="000242EE" w:rsidP="00A746E0">
            <w:pPr>
              <w:spacing w:after="0" w:line="240" w:lineRule="auto"/>
              <w:jc w:val="center"/>
              <w:rPr>
                <w:rFonts w:ascii="Calibri" w:eastAsia="Times New Roman" w:hAnsi="Calibri" w:cs="Times New Roman"/>
                <w:b/>
                <w:bCs/>
                <w:color w:val="000000"/>
              </w:rPr>
            </w:pPr>
            <w:r w:rsidRPr="00E51E13">
              <w:rPr>
                <w:rFonts w:ascii="Calibri" w:eastAsia="Times New Roman" w:hAnsi="Calibri" w:cs="Times New Roman"/>
                <w:b/>
                <w:bCs/>
                <w:color w:val="000000"/>
              </w:rPr>
              <w:t>Estimated Cost of</w:t>
            </w:r>
          </w:p>
          <w:p w14:paraId="6BBED4E7" w14:textId="48B51189" w:rsidR="000242EE" w:rsidRPr="007C2874" w:rsidRDefault="000242EE" w:rsidP="00A746E0">
            <w:pPr>
              <w:spacing w:after="0" w:line="240" w:lineRule="auto"/>
              <w:jc w:val="center"/>
              <w:rPr>
                <w:rFonts w:ascii="Calibri" w:eastAsia="Times New Roman" w:hAnsi="Calibri" w:cs="Times New Roman"/>
                <w:i/>
                <w:iCs/>
                <w:strike/>
                <w:sz w:val="18"/>
                <w:szCs w:val="18"/>
              </w:rPr>
            </w:pPr>
            <w:r w:rsidRPr="00E51E13">
              <w:rPr>
                <w:rFonts w:ascii="Calibri" w:eastAsia="Times New Roman" w:hAnsi="Calibri" w:cs="Times New Roman"/>
                <w:b/>
                <w:bCs/>
                <w:color w:val="000000"/>
              </w:rPr>
              <w:t>Implementation</w:t>
            </w:r>
          </w:p>
        </w:tc>
        <w:tc>
          <w:tcPr>
            <w:tcW w:w="1800"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12FA9D41" w14:textId="656EA2EA" w:rsidR="000242EE" w:rsidRPr="007C2874" w:rsidRDefault="000242EE" w:rsidP="00A746E0">
            <w:pPr>
              <w:spacing w:after="0" w:line="240" w:lineRule="auto"/>
              <w:jc w:val="center"/>
              <w:rPr>
                <w:rFonts w:ascii="Calibri" w:eastAsia="Times New Roman" w:hAnsi="Calibri" w:cs="Times New Roman"/>
                <w:strike/>
                <w:color w:val="000000"/>
                <w:sz w:val="20"/>
                <w:szCs w:val="20"/>
              </w:rPr>
            </w:pPr>
            <w:r w:rsidRPr="00E51E13">
              <w:rPr>
                <w:rFonts w:ascii="Calibri" w:eastAsia="Times New Roman" w:hAnsi="Calibri" w:cs="Times New Roman"/>
                <w:b/>
                <w:bCs/>
                <w:color w:val="000000"/>
              </w:rPr>
              <w:t>Estimated Rate Impact</w:t>
            </w:r>
          </w:p>
        </w:tc>
        <w:tc>
          <w:tcPr>
            <w:tcW w:w="324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336F797E" w14:textId="606CC54B" w:rsidR="000242EE" w:rsidRPr="007C2874" w:rsidRDefault="000242EE" w:rsidP="00A746E0">
            <w:pPr>
              <w:spacing w:after="0" w:line="240" w:lineRule="auto"/>
              <w:jc w:val="center"/>
              <w:rPr>
                <w:rFonts w:ascii="Calibri" w:eastAsia="Times New Roman" w:hAnsi="Calibri" w:cs="Times New Roman"/>
                <w:strike/>
                <w:color w:val="000000"/>
                <w:sz w:val="18"/>
                <w:szCs w:val="18"/>
              </w:rPr>
            </w:pPr>
            <w:r w:rsidRPr="00E51E13">
              <w:rPr>
                <w:rFonts w:ascii="Calibri" w:eastAsia="Times New Roman" w:hAnsi="Calibri" w:cs="Times New Roman"/>
                <w:b/>
                <w:bCs/>
                <w:color w:val="000000"/>
              </w:rPr>
              <w:t>Penalties / Other  Potential Cost Impacts</w:t>
            </w:r>
          </w:p>
        </w:tc>
      </w:tr>
      <w:tr w:rsidR="000242EE" w:rsidRPr="00E51E13" w14:paraId="1BC0D55D" w14:textId="77777777" w:rsidTr="00ED39D7">
        <w:trPr>
          <w:trHeight w:val="2510"/>
        </w:trPr>
        <w:tc>
          <w:tcPr>
            <w:tcW w:w="498" w:type="dxa"/>
            <w:vMerge w:val="restart"/>
            <w:tcBorders>
              <w:top w:val="single" w:sz="4" w:space="0" w:color="auto"/>
              <w:left w:val="single" w:sz="4" w:space="0" w:color="auto"/>
              <w:right w:val="single" w:sz="4" w:space="0" w:color="auto"/>
            </w:tcBorders>
            <w:shd w:val="clear" w:color="auto" w:fill="DAEEF3" w:themeFill="accent5" w:themeFillTint="33"/>
            <w:textDirection w:val="btLr"/>
            <w:vAlign w:val="center"/>
          </w:tcPr>
          <w:p w14:paraId="2A88844B" w14:textId="79D487E2" w:rsidR="000242EE" w:rsidRPr="00286AB5" w:rsidRDefault="000242EE" w:rsidP="00A746E0">
            <w:pPr>
              <w:spacing w:after="0" w:line="240" w:lineRule="auto"/>
              <w:ind w:left="113" w:right="113"/>
              <w:rPr>
                <w:rFonts w:ascii="Calibri" w:eastAsia="Times New Roman" w:hAnsi="Calibri" w:cs="Times New Roman"/>
                <w:b/>
                <w:bCs/>
              </w:rPr>
            </w:pPr>
            <w:r w:rsidRPr="00286AB5">
              <w:rPr>
                <w:rFonts w:ascii="Calibri" w:eastAsia="Times New Roman" w:hAnsi="Calibri" w:cs="Times New Roman"/>
                <w:b/>
                <w:bCs/>
              </w:rPr>
              <w:t>Renewable Portfolio Standard (RPS) / Carbon-Free Energy</w:t>
            </w:r>
          </w:p>
        </w:tc>
        <w:tc>
          <w:tcPr>
            <w:tcW w:w="5609" w:type="dxa"/>
            <w:tcBorders>
              <w:top w:val="single" w:sz="4" w:space="0" w:color="auto"/>
              <w:left w:val="single" w:sz="4" w:space="0" w:color="auto"/>
              <w:bottom w:val="single" w:sz="4" w:space="0" w:color="auto"/>
              <w:right w:val="single" w:sz="4" w:space="0" w:color="auto"/>
            </w:tcBorders>
            <w:vAlign w:val="center"/>
          </w:tcPr>
          <w:p w14:paraId="5247F20F" w14:textId="79B0C290" w:rsidR="000242EE" w:rsidRPr="00286AB5" w:rsidRDefault="000242EE" w:rsidP="00A746E0">
            <w:pPr>
              <w:spacing w:after="0" w:line="240" w:lineRule="auto"/>
              <w:rPr>
                <w:rFonts w:ascii="Calibri" w:eastAsia="Times New Roman" w:hAnsi="Calibri" w:cs="Times New Roman"/>
                <w:b/>
                <w:bCs/>
                <w:i/>
                <w:iCs/>
                <w:strike/>
                <w:sz w:val="20"/>
                <w:szCs w:val="20"/>
              </w:rPr>
            </w:pPr>
            <w:r w:rsidRPr="00286AB5">
              <w:rPr>
                <w:rFonts w:ascii="Calibri" w:eastAsia="Times New Roman" w:hAnsi="Calibri" w:cs="Times New Roman"/>
                <w:b/>
                <w:bCs/>
                <w:i/>
                <w:iCs/>
                <w:sz w:val="20"/>
                <w:szCs w:val="20"/>
              </w:rPr>
              <w:t>Bioenergy Procurement / SB 859 (2016):</w:t>
            </w:r>
            <w:r w:rsidRPr="00286AB5">
              <w:rPr>
                <w:rFonts w:ascii="Calibri" w:eastAsia="Times New Roman" w:hAnsi="Calibri" w:cs="Times New Roman"/>
                <w:bCs/>
                <w:i/>
                <w:iCs/>
                <w:sz w:val="20"/>
                <w:szCs w:val="20"/>
              </w:rPr>
              <w:t xml:space="preserve"> This law mandates that electric utilities collectively procure 125 MW of energy from bioenergy projects that use dead/dying trees as fuel stock, for a five-year period.  Anaheim estimates that it must procure approximately 1 MW from bioenergy projects annually.</w:t>
            </w:r>
          </w:p>
        </w:tc>
        <w:tc>
          <w:tcPr>
            <w:tcW w:w="3330" w:type="dxa"/>
            <w:tcBorders>
              <w:top w:val="single" w:sz="4" w:space="0" w:color="auto"/>
              <w:left w:val="nil"/>
              <w:bottom w:val="single" w:sz="4" w:space="0" w:color="auto"/>
              <w:right w:val="single" w:sz="4" w:space="0" w:color="auto"/>
            </w:tcBorders>
            <w:vAlign w:val="center"/>
          </w:tcPr>
          <w:p w14:paraId="2D1E07DC" w14:textId="0D24FABD" w:rsidR="000242EE" w:rsidRPr="00286AB5" w:rsidRDefault="000242EE" w:rsidP="00A746E0">
            <w:pPr>
              <w:spacing w:after="0" w:line="240" w:lineRule="auto"/>
              <w:rPr>
                <w:rFonts w:ascii="Calibri" w:eastAsia="Times New Roman" w:hAnsi="Calibri" w:cs="Times New Roman"/>
                <w:i/>
                <w:iCs/>
                <w:strike/>
                <w:sz w:val="18"/>
                <w:szCs w:val="18"/>
              </w:rPr>
            </w:pPr>
            <w:r w:rsidRPr="00286AB5">
              <w:rPr>
                <w:rFonts w:ascii="Calibri" w:hAnsi="Calibri"/>
                <w:i/>
                <w:sz w:val="20"/>
                <w:szCs w:val="20"/>
              </w:rPr>
              <w:t>Cost of bioenergy generation for a five-year period: $4.2 million (or approximately $830,000 annually).</w:t>
            </w:r>
          </w:p>
        </w:tc>
        <w:tc>
          <w:tcPr>
            <w:tcW w:w="1800" w:type="dxa"/>
            <w:tcBorders>
              <w:top w:val="single" w:sz="4" w:space="0" w:color="auto"/>
              <w:left w:val="single" w:sz="4" w:space="0" w:color="auto"/>
              <w:bottom w:val="single" w:sz="4" w:space="0" w:color="auto"/>
              <w:right w:val="single" w:sz="4" w:space="0" w:color="auto"/>
            </w:tcBorders>
            <w:vAlign w:val="center"/>
          </w:tcPr>
          <w:p w14:paraId="742057AA" w14:textId="5EB3D1D7" w:rsidR="000242EE" w:rsidRPr="00286AB5" w:rsidRDefault="000242EE" w:rsidP="00A746E0">
            <w:pPr>
              <w:spacing w:after="0" w:line="240" w:lineRule="auto"/>
              <w:jc w:val="center"/>
              <w:rPr>
                <w:rFonts w:ascii="Calibri" w:eastAsia="Times New Roman" w:hAnsi="Calibri" w:cs="Times New Roman"/>
                <w:strike/>
                <w:sz w:val="20"/>
                <w:szCs w:val="20"/>
              </w:rPr>
            </w:pPr>
            <w:r w:rsidRPr="00286AB5">
              <w:rPr>
                <w:rFonts w:ascii="Calibri" w:eastAsia="Times New Roman" w:hAnsi="Calibri" w:cs="Times New Roman"/>
                <w:sz w:val="20"/>
                <w:szCs w:val="20"/>
              </w:rPr>
              <w:t>0.25% increase</w:t>
            </w:r>
          </w:p>
        </w:tc>
        <w:tc>
          <w:tcPr>
            <w:tcW w:w="3240" w:type="dxa"/>
            <w:tcBorders>
              <w:top w:val="single" w:sz="4" w:space="0" w:color="auto"/>
              <w:left w:val="single" w:sz="4" w:space="0" w:color="auto"/>
              <w:bottom w:val="single" w:sz="4" w:space="0" w:color="auto"/>
              <w:right w:val="single" w:sz="4" w:space="0" w:color="auto"/>
            </w:tcBorders>
            <w:vAlign w:val="center"/>
          </w:tcPr>
          <w:p w14:paraId="17CFFF4F" w14:textId="33861340" w:rsidR="000242EE" w:rsidRPr="00286AB5" w:rsidRDefault="000242EE" w:rsidP="00A746E0">
            <w:pPr>
              <w:spacing w:after="0" w:line="240" w:lineRule="auto"/>
              <w:rPr>
                <w:rFonts w:ascii="Calibri" w:eastAsia="Times New Roman" w:hAnsi="Calibri" w:cs="Times New Roman"/>
                <w:strike/>
                <w:sz w:val="18"/>
                <w:szCs w:val="18"/>
              </w:rPr>
            </w:pPr>
            <w:r w:rsidRPr="00286AB5">
              <w:rPr>
                <w:rFonts w:ascii="Calibri" w:eastAsia="Times New Roman" w:hAnsi="Calibri" w:cs="Times New Roman"/>
                <w:sz w:val="20"/>
                <w:szCs w:val="20"/>
              </w:rPr>
              <w:t>Financial penalties not specified at this time. Potential for civil suit for non-compliance</w:t>
            </w:r>
          </w:p>
        </w:tc>
      </w:tr>
      <w:tr w:rsidR="000242EE" w:rsidRPr="00E51E13" w14:paraId="77F129D6" w14:textId="77777777" w:rsidTr="00ED39D7">
        <w:trPr>
          <w:trHeight w:val="3239"/>
        </w:trPr>
        <w:tc>
          <w:tcPr>
            <w:tcW w:w="498" w:type="dxa"/>
            <w:vMerge/>
            <w:tcBorders>
              <w:left w:val="single" w:sz="4" w:space="0" w:color="auto"/>
              <w:bottom w:val="single" w:sz="4" w:space="0" w:color="auto"/>
              <w:right w:val="single" w:sz="4" w:space="0" w:color="auto"/>
            </w:tcBorders>
            <w:shd w:val="clear" w:color="auto" w:fill="DAEEF3" w:themeFill="accent5" w:themeFillTint="33"/>
            <w:vAlign w:val="center"/>
          </w:tcPr>
          <w:p w14:paraId="7786A2BB" w14:textId="703FD208" w:rsidR="000242EE" w:rsidRPr="00286AB5" w:rsidRDefault="000242EE" w:rsidP="00A746E0">
            <w:pPr>
              <w:spacing w:after="0" w:line="240" w:lineRule="auto"/>
              <w:rPr>
                <w:rFonts w:ascii="Calibri" w:eastAsia="Times New Roman" w:hAnsi="Calibri" w:cs="Times New Roman"/>
                <w:b/>
                <w:bCs/>
              </w:rPr>
            </w:pPr>
          </w:p>
        </w:tc>
        <w:tc>
          <w:tcPr>
            <w:tcW w:w="5609" w:type="dxa"/>
            <w:tcBorders>
              <w:top w:val="single" w:sz="4" w:space="0" w:color="auto"/>
              <w:left w:val="single" w:sz="4" w:space="0" w:color="auto"/>
              <w:bottom w:val="single" w:sz="4" w:space="0" w:color="auto"/>
              <w:right w:val="single" w:sz="4" w:space="0" w:color="auto"/>
            </w:tcBorders>
            <w:vAlign w:val="center"/>
          </w:tcPr>
          <w:p w14:paraId="66BF7624" w14:textId="0275AE16" w:rsidR="000242EE" w:rsidRPr="00286AB5" w:rsidRDefault="000242EE" w:rsidP="00A746E0">
            <w:pPr>
              <w:spacing w:after="0" w:line="240" w:lineRule="auto"/>
              <w:rPr>
                <w:rFonts w:ascii="Calibri" w:eastAsia="Times New Roman" w:hAnsi="Calibri" w:cs="Times New Roman"/>
                <w:bCs/>
                <w:i/>
                <w:iCs/>
                <w:sz w:val="20"/>
                <w:szCs w:val="20"/>
              </w:rPr>
            </w:pPr>
            <w:r w:rsidRPr="00286AB5">
              <w:rPr>
                <w:rFonts w:ascii="Calibri" w:eastAsia="Times New Roman" w:hAnsi="Calibri" w:cs="Times New Roman"/>
                <w:b/>
                <w:bCs/>
                <w:i/>
                <w:iCs/>
                <w:sz w:val="20"/>
                <w:szCs w:val="20"/>
              </w:rPr>
              <w:t>Carbon Intensity / AB 1110 (2016):</w:t>
            </w:r>
            <w:r w:rsidRPr="00286AB5">
              <w:rPr>
                <w:rFonts w:ascii="Calibri" w:eastAsia="Times New Roman" w:hAnsi="Calibri" w:cs="Times New Roman"/>
                <w:bCs/>
                <w:i/>
                <w:iCs/>
                <w:sz w:val="20"/>
                <w:szCs w:val="20"/>
              </w:rPr>
              <w:t xml:space="preserve"> Requires reporting of greenhouse gas intensity of generation resource in the Power Content Label, starting in 2020.  </w:t>
            </w:r>
          </w:p>
          <w:p w14:paraId="2A7BE56B" w14:textId="73DDD7C3" w:rsidR="000242EE" w:rsidRPr="00286AB5" w:rsidRDefault="000242EE" w:rsidP="00A746E0">
            <w:pPr>
              <w:spacing w:after="0" w:line="240" w:lineRule="auto"/>
              <w:rPr>
                <w:rFonts w:ascii="Calibri" w:eastAsia="Times New Roman" w:hAnsi="Calibri" w:cs="Times New Roman"/>
                <w:i/>
                <w:iCs/>
                <w:sz w:val="20"/>
                <w:szCs w:val="20"/>
              </w:rPr>
            </w:pPr>
            <w:r w:rsidRPr="00286AB5">
              <w:rPr>
                <w:rFonts w:ascii="Calibri" w:eastAsia="Times New Roman" w:hAnsi="Calibri" w:cs="Times New Roman"/>
                <w:b/>
                <w:bCs/>
                <w:i/>
                <w:iCs/>
                <w:sz w:val="20"/>
                <w:szCs w:val="20"/>
              </w:rPr>
              <w:t xml:space="preserve">Power Content Label / SB 1305 (1997): </w:t>
            </w:r>
            <w:r w:rsidRPr="00286AB5">
              <w:rPr>
                <w:rFonts w:ascii="Calibri" w:eastAsia="Times New Roman" w:hAnsi="Calibri" w:cs="Times New Roman"/>
                <w:i/>
                <w:iCs/>
                <w:sz w:val="20"/>
                <w:szCs w:val="20"/>
              </w:rPr>
              <w:t xml:space="preserve">Requires an annual report to customers and the California Energy Commission on the source and percentage of each type of generation resource that a utility uses. </w:t>
            </w:r>
          </w:p>
        </w:tc>
        <w:tc>
          <w:tcPr>
            <w:tcW w:w="3330" w:type="dxa"/>
            <w:tcBorders>
              <w:top w:val="single" w:sz="4" w:space="0" w:color="auto"/>
              <w:left w:val="nil"/>
              <w:bottom w:val="single" w:sz="4" w:space="0" w:color="auto"/>
              <w:right w:val="single" w:sz="4" w:space="0" w:color="auto"/>
            </w:tcBorders>
            <w:vAlign w:val="center"/>
          </w:tcPr>
          <w:p w14:paraId="6E1D0399" w14:textId="1E08D337" w:rsidR="000242EE" w:rsidRPr="00286AB5" w:rsidRDefault="000242EE" w:rsidP="00A746E0">
            <w:pPr>
              <w:spacing w:after="0" w:line="240" w:lineRule="auto"/>
              <w:rPr>
                <w:rFonts w:ascii="Calibri" w:eastAsia="Times New Roman" w:hAnsi="Calibri" w:cs="Times New Roman"/>
                <w:i/>
                <w:iCs/>
                <w:sz w:val="18"/>
                <w:szCs w:val="18"/>
              </w:rPr>
            </w:pPr>
            <w:r w:rsidRPr="00286AB5">
              <w:rPr>
                <w:rFonts w:ascii="Calibri" w:eastAsia="Times New Roman" w:hAnsi="Calibri" w:cs="Times New Roman"/>
                <w:i/>
                <w:iCs/>
                <w:sz w:val="18"/>
                <w:szCs w:val="18"/>
              </w:rPr>
              <w:t>Annual costs for the collection of data, development and submittal of an annual report to customers and the California Energy Commission: $150,000.</w:t>
            </w:r>
          </w:p>
        </w:tc>
        <w:tc>
          <w:tcPr>
            <w:tcW w:w="1800" w:type="dxa"/>
            <w:tcBorders>
              <w:top w:val="single" w:sz="4" w:space="0" w:color="auto"/>
              <w:left w:val="single" w:sz="4" w:space="0" w:color="auto"/>
              <w:bottom w:val="single" w:sz="4" w:space="0" w:color="auto"/>
              <w:right w:val="single" w:sz="4" w:space="0" w:color="auto"/>
            </w:tcBorders>
            <w:vAlign w:val="center"/>
          </w:tcPr>
          <w:p w14:paraId="6A1FFA98" w14:textId="3D5B14B2" w:rsidR="000242EE" w:rsidRPr="00286AB5" w:rsidRDefault="000242EE" w:rsidP="00A746E0">
            <w:pPr>
              <w:spacing w:after="0" w:line="240" w:lineRule="auto"/>
              <w:jc w:val="center"/>
              <w:rPr>
                <w:rFonts w:ascii="Calibri" w:eastAsia="Times New Roman" w:hAnsi="Calibri" w:cs="Times New Roman"/>
                <w:sz w:val="20"/>
                <w:szCs w:val="20"/>
              </w:rPr>
            </w:pPr>
            <w:r w:rsidRPr="00286AB5">
              <w:rPr>
                <w:rFonts w:ascii="Calibri" w:eastAsia="Times New Roman" w:hAnsi="Calibri" w:cs="Times New Roman"/>
                <w:sz w:val="20"/>
                <w:szCs w:val="20"/>
              </w:rPr>
              <w:t>0.05% increase</w:t>
            </w:r>
          </w:p>
        </w:tc>
        <w:tc>
          <w:tcPr>
            <w:tcW w:w="3240" w:type="dxa"/>
            <w:tcBorders>
              <w:top w:val="single" w:sz="4" w:space="0" w:color="auto"/>
              <w:left w:val="single" w:sz="4" w:space="0" w:color="auto"/>
              <w:bottom w:val="single" w:sz="4" w:space="0" w:color="auto"/>
              <w:right w:val="single" w:sz="4" w:space="0" w:color="auto"/>
            </w:tcBorders>
            <w:vAlign w:val="center"/>
          </w:tcPr>
          <w:p w14:paraId="67DD765A" w14:textId="6A35D690" w:rsidR="000242EE" w:rsidRPr="00286AB5" w:rsidRDefault="000242EE" w:rsidP="00A746E0">
            <w:pPr>
              <w:spacing w:after="0" w:line="240" w:lineRule="auto"/>
              <w:rPr>
                <w:rFonts w:ascii="Calibri" w:eastAsia="Times New Roman" w:hAnsi="Calibri" w:cs="Times New Roman"/>
                <w:sz w:val="18"/>
                <w:szCs w:val="18"/>
              </w:rPr>
            </w:pPr>
            <w:r w:rsidRPr="00286AB5">
              <w:rPr>
                <w:rFonts w:ascii="Calibri" w:eastAsia="Times New Roman" w:hAnsi="Calibri" w:cs="Times New Roman"/>
                <w:sz w:val="18"/>
                <w:szCs w:val="18"/>
              </w:rPr>
              <w:t>Financial penalties not specified. Potential for civil suit for non-compliance. (Potentially could result in cost to implement and any damages attributed to noncompliance.)</w:t>
            </w:r>
          </w:p>
        </w:tc>
      </w:tr>
    </w:tbl>
    <w:p w14:paraId="7B9E8D1C" w14:textId="77777777" w:rsidR="000839C9" w:rsidRDefault="000839C9">
      <w:r>
        <w:br w:type="page"/>
      </w:r>
    </w:p>
    <w:tbl>
      <w:tblPr>
        <w:tblW w:w="14472" w:type="dxa"/>
        <w:tblInd w:w="-162" w:type="dxa"/>
        <w:tblLayout w:type="fixed"/>
        <w:tblLook w:val="04A0" w:firstRow="1" w:lastRow="0" w:firstColumn="1" w:lastColumn="0" w:noHBand="0" w:noVBand="1"/>
      </w:tblPr>
      <w:tblGrid>
        <w:gridCol w:w="450"/>
        <w:gridCol w:w="5652"/>
        <w:gridCol w:w="3420"/>
        <w:gridCol w:w="1620"/>
        <w:gridCol w:w="3330"/>
      </w:tblGrid>
      <w:tr w:rsidR="000242EE" w:rsidRPr="00E51E13" w14:paraId="4E1FC57C" w14:textId="77777777" w:rsidTr="00ED39D7">
        <w:trPr>
          <w:trHeight w:val="620"/>
        </w:trPr>
        <w:tc>
          <w:tcPr>
            <w:tcW w:w="450" w:type="dxa"/>
            <w:tcBorders>
              <w:left w:val="nil"/>
              <w:bottom w:val="single" w:sz="4" w:space="0" w:color="auto"/>
              <w:right w:val="nil"/>
            </w:tcBorders>
            <w:shd w:val="clear" w:color="auto" w:fill="auto"/>
            <w:noWrap/>
            <w:vAlign w:val="bottom"/>
            <w:hideMark/>
          </w:tcPr>
          <w:p w14:paraId="32438FA7" w14:textId="77777777" w:rsidR="000242EE" w:rsidRPr="00E51E13" w:rsidRDefault="000242EE" w:rsidP="0067642A">
            <w:pPr>
              <w:spacing w:after="0" w:line="240" w:lineRule="auto"/>
              <w:rPr>
                <w:rFonts w:ascii="Calibri" w:eastAsia="Times New Roman" w:hAnsi="Calibri" w:cs="Times New Roman"/>
                <w:b/>
                <w:bCs/>
                <w:color w:val="000000"/>
                <w:sz w:val="18"/>
                <w:szCs w:val="18"/>
              </w:rPr>
            </w:pPr>
          </w:p>
        </w:tc>
        <w:tc>
          <w:tcPr>
            <w:tcW w:w="5652" w:type="dxa"/>
            <w:tcBorders>
              <w:left w:val="nil"/>
              <w:bottom w:val="single" w:sz="4" w:space="0" w:color="auto"/>
              <w:right w:val="single" w:sz="4" w:space="0" w:color="auto"/>
            </w:tcBorders>
            <w:shd w:val="clear" w:color="auto" w:fill="auto"/>
            <w:noWrap/>
            <w:vAlign w:val="bottom"/>
            <w:hideMark/>
          </w:tcPr>
          <w:p w14:paraId="64EAC831" w14:textId="77777777" w:rsidR="000242EE" w:rsidRPr="00E51E13" w:rsidRDefault="000242EE" w:rsidP="0067642A">
            <w:pPr>
              <w:spacing w:after="0" w:line="240" w:lineRule="auto"/>
              <w:jc w:val="center"/>
              <w:rPr>
                <w:rFonts w:ascii="Calibri" w:eastAsia="Times New Roman" w:hAnsi="Calibri" w:cs="Times New Roman"/>
                <w:b/>
                <w:bCs/>
                <w:color w:val="000000"/>
                <w:sz w:val="18"/>
                <w:szCs w:val="18"/>
              </w:rPr>
            </w:pPr>
            <w:r w:rsidRPr="00E51E13">
              <w:rPr>
                <w:rFonts w:ascii="Calibri" w:eastAsia="Times New Roman" w:hAnsi="Calibri" w:cs="Times New Roman"/>
                <w:b/>
                <w:bCs/>
                <w:color w:val="000000"/>
                <w:sz w:val="18"/>
                <w:szCs w:val="18"/>
              </w:rPr>
              <w:t xml:space="preserve"> </w:t>
            </w:r>
          </w:p>
        </w:tc>
        <w:tc>
          <w:tcPr>
            <w:tcW w:w="3420" w:type="dxa"/>
            <w:tcBorders>
              <w:top w:val="single" w:sz="4" w:space="0" w:color="auto"/>
              <w:left w:val="single" w:sz="4" w:space="0" w:color="auto"/>
              <w:bottom w:val="single" w:sz="4" w:space="0" w:color="auto"/>
              <w:right w:val="single" w:sz="4" w:space="0" w:color="auto"/>
            </w:tcBorders>
            <w:shd w:val="clear" w:color="000000" w:fill="F2DCDB"/>
            <w:vAlign w:val="center"/>
            <w:hideMark/>
          </w:tcPr>
          <w:p w14:paraId="1E0EE76E" w14:textId="77777777" w:rsidR="000242EE" w:rsidRPr="00E51E13" w:rsidRDefault="000242EE" w:rsidP="0067642A">
            <w:pPr>
              <w:spacing w:after="0" w:line="240" w:lineRule="auto"/>
              <w:jc w:val="center"/>
              <w:rPr>
                <w:rFonts w:ascii="Calibri" w:eastAsia="Times New Roman" w:hAnsi="Calibri" w:cs="Times New Roman"/>
                <w:b/>
                <w:bCs/>
                <w:color w:val="000000"/>
              </w:rPr>
            </w:pPr>
            <w:r w:rsidRPr="00E51E13">
              <w:rPr>
                <w:rFonts w:ascii="Calibri" w:eastAsia="Times New Roman" w:hAnsi="Calibri" w:cs="Times New Roman"/>
                <w:b/>
                <w:bCs/>
                <w:color w:val="000000"/>
              </w:rPr>
              <w:t>Estimated Cost of Implementation</w:t>
            </w:r>
          </w:p>
        </w:tc>
        <w:tc>
          <w:tcPr>
            <w:tcW w:w="1620" w:type="dxa"/>
            <w:tcBorders>
              <w:top w:val="single" w:sz="4" w:space="0" w:color="auto"/>
              <w:left w:val="nil"/>
              <w:bottom w:val="single" w:sz="4" w:space="0" w:color="auto"/>
              <w:right w:val="single" w:sz="4" w:space="0" w:color="auto"/>
            </w:tcBorders>
            <w:shd w:val="clear" w:color="000000" w:fill="E4DFEC"/>
            <w:vAlign w:val="center"/>
            <w:hideMark/>
          </w:tcPr>
          <w:p w14:paraId="3CD12274" w14:textId="77777777" w:rsidR="000242EE" w:rsidRPr="00E51E13" w:rsidRDefault="000242EE" w:rsidP="0067642A">
            <w:pPr>
              <w:spacing w:after="0" w:line="240" w:lineRule="auto"/>
              <w:jc w:val="center"/>
              <w:rPr>
                <w:rFonts w:ascii="Calibri" w:eastAsia="Times New Roman" w:hAnsi="Calibri" w:cs="Times New Roman"/>
                <w:b/>
                <w:bCs/>
                <w:color w:val="000000"/>
              </w:rPr>
            </w:pPr>
            <w:r w:rsidRPr="00E51E13">
              <w:rPr>
                <w:rFonts w:ascii="Calibri" w:eastAsia="Times New Roman" w:hAnsi="Calibri" w:cs="Times New Roman"/>
                <w:b/>
                <w:bCs/>
                <w:color w:val="000000"/>
              </w:rPr>
              <w:t>Estimated Rate Impact</w:t>
            </w:r>
          </w:p>
        </w:tc>
        <w:tc>
          <w:tcPr>
            <w:tcW w:w="3330" w:type="dxa"/>
            <w:tcBorders>
              <w:top w:val="single" w:sz="4" w:space="0" w:color="auto"/>
              <w:left w:val="nil"/>
              <w:bottom w:val="single" w:sz="4" w:space="0" w:color="auto"/>
              <w:right w:val="single" w:sz="4" w:space="0" w:color="auto"/>
            </w:tcBorders>
            <w:shd w:val="clear" w:color="000000" w:fill="DAEEF3"/>
            <w:vAlign w:val="center"/>
            <w:hideMark/>
          </w:tcPr>
          <w:p w14:paraId="3E239E86" w14:textId="77777777" w:rsidR="000242EE" w:rsidRPr="00E51E13" w:rsidRDefault="000242EE" w:rsidP="00336EFA">
            <w:pPr>
              <w:spacing w:after="0" w:line="240" w:lineRule="auto"/>
              <w:jc w:val="center"/>
              <w:rPr>
                <w:rFonts w:ascii="Calibri" w:eastAsia="Times New Roman" w:hAnsi="Calibri" w:cs="Times New Roman"/>
                <w:b/>
                <w:bCs/>
                <w:color w:val="000000"/>
              </w:rPr>
            </w:pPr>
            <w:r w:rsidRPr="00E51E13">
              <w:rPr>
                <w:rFonts w:ascii="Calibri" w:eastAsia="Times New Roman" w:hAnsi="Calibri" w:cs="Times New Roman"/>
                <w:b/>
                <w:bCs/>
                <w:color w:val="000000"/>
              </w:rPr>
              <w:t>Penalties / Other  Potential Cost Impacts</w:t>
            </w:r>
          </w:p>
        </w:tc>
      </w:tr>
      <w:tr w:rsidR="000242EE" w:rsidRPr="00E51E13" w14:paraId="5F36575A" w14:textId="77777777" w:rsidTr="00ED39D7">
        <w:trPr>
          <w:trHeight w:val="1997"/>
        </w:trPr>
        <w:tc>
          <w:tcPr>
            <w:tcW w:w="450" w:type="dxa"/>
            <w:vMerge w:val="restart"/>
            <w:tcBorders>
              <w:top w:val="single" w:sz="4" w:space="0" w:color="auto"/>
              <w:left w:val="single" w:sz="4" w:space="0" w:color="auto"/>
              <w:bottom w:val="single" w:sz="4" w:space="0" w:color="auto"/>
              <w:right w:val="single" w:sz="4" w:space="0" w:color="auto"/>
            </w:tcBorders>
            <w:shd w:val="clear" w:color="000000" w:fill="E4DFEC"/>
            <w:textDirection w:val="btLr"/>
          </w:tcPr>
          <w:p w14:paraId="33E7F8B2" w14:textId="77777777" w:rsidR="000242EE" w:rsidRPr="00E51E13" w:rsidRDefault="000242EE" w:rsidP="00C32AE8">
            <w:pPr>
              <w:spacing w:after="0" w:line="240" w:lineRule="auto"/>
              <w:jc w:val="center"/>
              <w:rPr>
                <w:rFonts w:ascii="Calibri" w:eastAsia="Times New Roman" w:hAnsi="Calibri" w:cs="Times New Roman"/>
                <w:b/>
                <w:bCs/>
                <w:color w:val="000000"/>
              </w:rPr>
            </w:pPr>
            <w:r w:rsidRPr="00E51E13">
              <w:rPr>
                <w:rFonts w:ascii="Calibri" w:eastAsia="Times New Roman" w:hAnsi="Calibri" w:cs="Times New Roman"/>
                <w:b/>
                <w:bCs/>
                <w:color w:val="000000"/>
              </w:rPr>
              <w:t xml:space="preserve">Energy Efficiency </w:t>
            </w:r>
            <w:r>
              <w:rPr>
                <w:rFonts w:ascii="Calibri" w:eastAsia="Times New Roman" w:hAnsi="Calibri" w:cs="Times New Roman"/>
                <w:b/>
                <w:bCs/>
                <w:color w:val="000000"/>
              </w:rPr>
              <w:t xml:space="preserve"> </w:t>
            </w:r>
            <w:r w:rsidRPr="00E51E13">
              <w:rPr>
                <w:rFonts w:ascii="Calibri" w:eastAsia="Times New Roman" w:hAnsi="Calibri" w:cs="Times New Roman"/>
                <w:b/>
                <w:bCs/>
                <w:color w:val="000000"/>
              </w:rPr>
              <w:t>Programs</w:t>
            </w:r>
          </w:p>
        </w:tc>
        <w:tc>
          <w:tcPr>
            <w:tcW w:w="5652" w:type="dxa"/>
            <w:tcBorders>
              <w:top w:val="single" w:sz="4" w:space="0" w:color="auto"/>
              <w:left w:val="single" w:sz="4" w:space="0" w:color="auto"/>
              <w:bottom w:val="single" w:sz="4" w:space="0" w:color="auto"/>
              <w:right w:val="single" w:sz="4" w:space="0" w:color="auto"/>
            </w:tcBorders>
            <w:shd w:val="clear" w:color="auto" w:fill="auto"/>
            <w:vAlign w:val="center"/>
          </w:tcPr>
          <w:p w14:paraId="653C858D" w14:textId="77777777" w:rsidR="000242EE" w:rsidRPr="00893668" w:rsidRDefault="000242EE" w:rsidP="000839C9">
            <w:pPr>
              <w:spacing w:after="0" w:line="240" w:lineRule="auto"/>
              <w:rPr>
                <w:rFonts w:ascii="Calibri" w:eastAsia="Times New Roman" w:hAnsi="Calibri" w:cs="Times New Roman"/>
                <w:b/>
                <w:bCs/>
                <w:i/>
                <w:iCs/>
                <w:sz w:val="20"/>
                <w:szCs w:val="20"/>
              </w:rPr>
            </w:pPr>
            <w:r w:rsidRPr="00893668">
              <w:rPr>
                <w:rFonts w:ascii="Calibri" w:eastAsia="Times New Roman" w:hAnsi="Calibri" w:cs="Times New Roman"/>
                <w:b/>
                <w:bCs/>
                <w:i/>
                <w:iCs/>
                <w:sz w:val="20"/>
                <w:szCs w:val="20"/>
              </w:rPr>
              <w:t>Clean Energy and Pollution Reduction Act / SB 350 (2015):</w:t>
            </w:r>
            <w:r w:rsidRPr="00CB7CE5">
              <w:rPr>
                <w:rFonts w:ascii="Calibri" w:eastAsia="Times New Roman" w:hAnsi="Calibri" w:cs="Times New Roman"/>
                <w:bCs/>
                <w:i/>
                <w:iCs/>
                <w:sz w:val="20"/>
                <w:szCs w:val="20"/>
              </w:rPr>
              <w:t xml:space="preserve"> T</w:t>
            </w:r>
            <w:r w:rsidRPr="00893668">
              <w:rPr>
                <w:rFonts w:ascii="Calibri" w:eastAsia="Times New Roman" w:hAnsi="Calibri" w:cs="Times New Roman"/>
                <w:bCs/>
                <w:i/>
                <w:iCs/>
                <w:sz w:val="20"/>
                <w:szCs w:val="20"/>
              </w:rPr>
              <w:t xml:space="preserve">his law is intended to implement the Governor’s Climate Change Goals for 2030. Among other things, </w:t>
            </w:r>
            <w:r w:rsidRPr="00893668">
              <w:rPr>
                <w:i/>
                <w:sz w:val="20"/>
                <w:szCs w:val="20"/>
              </w:rPr>
              <w:t xml:space="preserve">this law directs the Energy Commission to establish annual targets to achieve a </w:t>
            </w:r>
            <w:r w:rsidRPr="00893668">
              <w:rPr>
                <w:i/>
                <w:sz w:val="20"/>
                <w:szCs w:val="20"/>
                <w:u w:val="single"/>
              </w:rPr>
              <w:t>doubling</w:t>
            </w:r>
            <w:r w:rsidRPr="00893668">
              <w:rPr>
                <w:i/>
                <w:sz w:val="20"/>
                <w:szCs w:val="20"/>
              </w:rPr>
              <w:t xml:space="preserve"> of statewide energy efficiency (EE) savings in electricity and natural gas retail end uses by January 1, 2030.  </w:t>
            </w:r>
            <w:r w:rsidRPr="00893668">
              <w:rPr>
                <w:rFonts w:ascii="Calibri" w:eastAsia="Times New Roman" w:hAnsi="Calibri" w:cs="Times New Roman"/>
                <w:bCs/>
                <w:i/>
                <w:iCs/>
                <w:sz w:val="20"/>
                <w:szCs w:val="20"/>
              </w:rPr>
              <w:t>[For additional SB 350 impacts, see “RPS” and “IRP” sections]</w:t>
            </w:r>
          </w:p>
        </w:tc>
        <w:tc>
          <w:tcPr>
            <w:tcW w:w="3420" w:type="dxa"/>
            <w:tcBorders>
              <w:top w:val="single" w:sz="4" w:space="0" w:color="auto"/>
              <w:left w:val="nil"/>
              <w:bottom w:val="single" w:sz="4" w:space="0" w:color="auto"/>
              <w:right w:val="single" w:sz="4" w:space="0" w:color="auto"/>
            </w:tcBorders>
            <w:shd w:val="clear" w:color="auto" w:fill="auto"/>
            <w:vAlign w:val="center"/>
          </w:tcPr>
          <w:p w14:paraId="5DDC5799" w14:textId="77777777" w:rsidR="000242EE" w:rsidRPr="00893668" w:rsidRDefault="000242EE" w:rsidP="000839C9">
            <w:pPr>
              <w:autoSpaceDE w:val="0"/>
              <w:autoSpaceDN w:val="0"/>
              <w:spacing w:after="0" w:line="240" w:lineRule="auto"/>
              <w:rPr>
                <w:rFonts w:ascii="Calibri" w:eastAsia="Times New Roman" w:hAnsi="Calibri" w:cs="Times New Roman"/>
                <w:i/>
                <w:iCs/>
                <w:sz w:val="20"/>
                <w:szCs w:val="20"/>
              </w:rPr>
            </w:pPr>
            <w:r w:rsidRPr="00893668">
              <w:rPr>
                <w:rFonts w:ascii="Calibri" w:hAnsi="Calibri"/>
                <w:i/>
                <w:sz w:val="20"/>
                <w:szCs w:val="20"/>
              </w:rPr>
              <w:t>Unknown at this time, statewide EE targets to be determined. However, annual average cost to effectively double APU’s EE program efforts will be at least</w:t>
            </w:r>
            <w:r w:rsidRPr="00893668">
              <w:rPr>
                <w:rFonts w:ascii="Calibri" w:hAnsi="Calibri"/>
                <w:b/>
                <w:i/>
                <w:sz w:val="20"/>
                <w:szCs w:val="20"/>
              </w:rPr>
              <w:t xml:space="preserve"> </w:t>
            </w:r>
            <w:r w:rsidRPr="00893668">
              <w:rPr>
                <w:rFonts w:ascii="Calibri" w:hAnsi="Calibri"/>
                <w:i/>
                <w:sz w:val="20"/>
                <w:szCs w:val="20"/>
              </w:rPr>
              <w:t>$8.8 million.</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69197F91" w14:textId="77777777" w:rsidR="000242EE" w:rsidRPr="00893668" w:rsidRDefault="000242EE" w:rsidP="000839C9">
            <w:pPr>
              <w:spacing w:after="0" w:line="240" w:lineRule="auto"/>
              <w:jc w:val="center"/>
              <w:rPr>
                <w:rFonts w:ascii="Calibri" w:eastAsia="Times New Roman" w:hAnsi="Calibri" w:cs="Times New Roman"/>
                <w:sz w:val="20"/>
                <w:szCs w:val="20"/>
              </w:rPr>
            </w:pPr>
            <w:r w:rsidRPr="00893668">
              <w:rPr>
                <w:rFonts w:ascii="Calibri" w:eastAsia="Times New Roman" w:hAnsi="Calibri" w:cs="Times New Roman"/>
                <w:sz w:val="20"/>
                <w:szCs w:val="20"/>
              </w:rPr>
              <w:t>1.5% to 2.5% increase</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center"/>
          </w:tcPr>
          <w:p w14:paraId="123FC89A" w14:textId="77777777" w:rsidR="000242EE" w:rsidRPr="00893668" w:rsidRDefault="000242EE" w:rsidP="000839C9">
            <w:pPr>
              <w:spacing w:after="0" w:line="240" w:lineRule="auto"/>
              <w:rPr>
                <w:rFonts w:ascii="Calibri" w:eastAsia="Times New Roman" w:hAnsi="Calibri" w:cs="Times New Roman"/>
                <w:sz w:val="20"/>
                <w:szCs w:val="20"/>
              </w:rPr>
            </w:pPr>
            <w:r w:rsidRPr="00893668">
              <w:rPr>
                <w:rFonts w:ascii="Calibri" w:eastAsia="Times New Roman" w:hAnsi="Calibri" w:cs="Times New Roman"/>
                <w:sz w:val="20"/>
                <w:szCs w:val="20"/>
              </w:rPr>
              <w:t xml:space="preserve">Financial penalties not specified. California Energy Commission is authorized to review program and </w:t>
            </w:r>
            <w:proofErr w:type="gramStart"/>
            <w:r w:rsidRPr="00893668">
              <w:rPr>
                <w:rFonts w:ascii="Calibri" w:eastAsia="Times New Roman" w:hAnsi="Calibri" w:cs="Times New Roman"/>
                <w:sz w:val="20"/>
                <w:szCs w:val="20"/>
              </w:rPr>
              <w:t>targets, and</w:t>
            </w:r>
            <w:proofErr w:type="gramEnd"/>
            <w:r w:rsidRPr="00893668">
              <w:rPr>
                <w:rFonts w:ascii="Calibri" w:eastAsia="Times New Roman" w:hAnsi="Calibri" w:cs="Times New Roman"/>
                <w:sz w:val="20"/>
                <w:szCs w:val="20"/>
              </w:rPr>
              <w:t xml:space="preserve"> provide recommendations for possible improvements.</w:t>
            </w:r>
          </w:p>
        </w:tc>
      </w:tr>
      <w:tr w:rsidR="000242EE" w:rsidRPr="00E51E13" w14:paraId="14B70783" w14:textId="77777777" w:rsidTr="00ED39D7">
        <w:trPr>
          <w:trHeight w:val="1340"/>
        </w:trPr>
        <w:tc>
          <w:tcPr>
            <w:tcW w:w="450" w:type="dxa"/>
            <w:vMerge/>
            <w:tcBorders>
              <w:top w:val="single" w:sz="4" w:space="0" w:color="auto"/>
              <w:left w:val="single" w:sz="4" w:space="0" w:color="auto"/>
              <w:bottom w:val="single" w:sz="4" w:space="0" w:color="auto"/>
              <w:right w:val="single" w:sz="4" w:space="0" w:color="auto"/>
            </w:tcBorders>
            <w:shd w:val="clear" w:color="000000" w:fill="E4DFEC"/>
            <w:textDirection w:val="btLr"/>
            <w:vAlign w:val="center"/>
          </w:tcPr>
          <w:p w14:paraId="42C1F9B4" w14:textId="77777777" w:rsidR="000242EE" w:rsidRPr="00E51E13" w:rsidRDefault="000242EE" w:rsidP="000839C9">
            <w:pPr>
              <w:spacing w:after="0" w:line="240" w:lineRule="auto"/>
              <w:jc w:val="center"/>
              <w:rPr>
                <w:rFonts w:ascii="Calibri" w:eastAsia="Times New Roman" w:hAnsi="Calibri" w:cs="Times New Roman"/>
                <w:b/>
                <w:bCs/>
                <w:color w:val="000000"/>
              </w:rPr>
            </w:pPr>
          </w:p>
        </w:tc>
        <w:tc>
          <w:tcPr>
            <w:tcW w:w="5652" w:type="dxa"/>
            <w:tcBorders>
              <w:top w:val="single" w:sz="4" w:space="0" w:color="auto"/>
              <w:left w:val="single" w:sz="4" w:space="0" w:color="auto"/>
              <w:bottom w:val="single" w:sz="4" w:space="0" w:color="auto"/>
              <w:right w:val="single" w:sz="4" w:space="0" w:color="auto"/>
            </w:tcBorders>
            <w:shd w:val="clear" w:color="auto" w:fill="auto"/>
            <w:vAlign w:val="center"/>
          </w:tcPr>
          <w:p w14:paraId="26953859" w14:textId="77777777" w:rsidR="000242EE" w:rsidRPr="00893668" w:rsidRDefault="000242EE" w:rsidP="000839C9">
            <w:pPr>
              <w:spacing w:after="0" w:line="240" w:lineRule="auto"/>
              <w:rPr>
                <w:rFonts w:ascii="Calibri" w:eastAsia="Times New Roman" w:hAnsi="Calibri" w:cs="Times New Roman"/>
                <w:bCs/>
                <w:i/>
                <w:iCs/>
                <w:sz w:val="20"/>
                <w:szCs w:val="20"/>
              </w:rPr>
            </w:pPr>
            <w:r w:rsidRPr="00893668">
              <w:rPr>
                <w:rFonts w:ascii="Calibri" w:eastAsia="Times New Roman" w:hAnsi="Calibri" w:cs="Times New Roman"/>
                <w:b/>
                <w:bCs/>
                <w:i/>
                <w:iCs/>
                <w:sz w:val="20"/>
                <w:szCs w:val="20"/>
              </w:rPr>
              <w:t>Energy Consumption Benchmarking / AB 802 (2015)</w:t>
            </w:r>
            <w:r w:rsidRPr="00893668">
              <w:rPr>
                <w:rFonts w:ascii="Calibri" w:eastAsia="Times New Roman" w:hAnsi="Calibri" w:cs="Times New Roman"/>
                <w:bCs/>
                <w:i/>
                <w:iCs/>
                <w:sz w:val="20"/>
                <w:szCs w:val="20"/>
              </w:rPr>
              <w:t>: Directs the California Energy Commission to adopt regulations for the disclosure and benchmarking of energy use data for commercial, industrial, and large residential buildings. Beginning 2017, the law will require utilities to provide this information at the request of building owners and customers. This law replaced the AB 1103 Program.</w:t>
            </w:r>
          </w:p>
        </w:tc>
        <w:tc>
          <w:tcPr>
            <w:tcW w:w="3420" w:type="dxa"/>
            <w:tcBorders>
              <w:top w:val="single" w:sz="4" w:space="0" w:color="auto"/>
              <w:left w:val="nil"/>
              <w:bottom w:val="single" w:sz="4" w:space="0" w:color="auto"/>
              <w:right w:val="single" w:sz="4" w:space="0" w:color="auto"/>
            </w:tcBorders>
            <w:shd w:val="clear" w:color="auto" w:fill="auto"/>
            <w:vAlign w:val="center"/>
          </w:tcPr>
          <w:p w14:paraId="459F6C86" w14:textId="77777777" w:rsidR="000242EE" w:rsidRPr="00893668" w:rsidRDefault="000242EE" w:rsidP="000839C9">
            <w:pPr>
              <w:spacing w:after="0" w:line="240" w:lineRule="auto"/>
              <w:rPr>
                <w:rFonts w:ascii="Calibri" w:eastAsia="Times New Roman" w:hAnsi="Calibri" w:cs="Times New Roman"/>
                <w:i/>
                <w:iCs/>
                <w:sz w:val="20"/>
                <w:szCs w:val="20"/>
              </w:rPr>
            </w:pPr>
            <w:r w:rsidRPr="00893668">
              <w:rPr>
                <w:rFonts w:ascii="Calibri" w:eastAsia="Times New Roman" w:hAnsi="Calibri" w:cs="Times New Roman"/>
                <w:i/>
                <w:iCs/>
                <w:sz w:val="20"/>
                <w:szCs w:val="20"/>
              </w:rPr>
              <w:t>Annual cost to maintain and provide energy use and benchmarking data: $200,000 if applies also to buildings less than 10,000ft</w:t>
            </w:r>
            <w:r w:rsidRPr="00893668">
              <w:rPr>
                <w:rFonts w:ascii="Calibri" w:eastAsia="Times New Roman" w:hAnsi="Calibri" w:cs="Times New Roman"/>
                <w:i/>
                <w:iCs/>
                <w:sz w:val="20"/>
                <w:szCs w:val="20"/>
                <w:vertAlign w:val="superscript"/>
              </w:rPr>
              <w:t>2</w:t>
            </w:r>
            <w:r w:rsidRPr="00893668">
              <w:rPr>
                <w:rFonts w:ascii="Calibri" w:eastAsia="Times New Roman" w:hAnsi="Calibri" w:cs="Times New Roman"/>
                <w:i/>
                <w:iCs/>
                <w:sz w:val="20"/>
                <w:szCs w:val="20"/>
              </w:rPr>
              <w:t>; $100,000 if applies only to buildings 10,000 ft</w:t>
            </w:r>
            <w:r w:rsidRPr="00893668">
              <w:rPr>
                <w:rFonts w:ascii="Calibri" w:eastAsia="Times New Roman" w:hAnsi="Calibri" w:cs="Times New Roman"/>
                <w:i/>
                <w:iCs/>
                <w:sz w:val="20"/>
                <w:szCs w:val="20"/>
                <w:vertAlign w:val="superscript"/>
              </w:rPr>
              <w:t>2</w:t>
            </w:r>
            <w:r w:rsidRPr="00893668">
              <w:rPr>
                <w:rFonts w:ascii="Calibri" w:eastAsia="Times New Roman" w:hAnsi="Calibri" w:cs="Times New Roman"/>
                <w:i/>
                <w:iCs/>
                <w:sz w:val="20"/>
                <w:szCs w:val="20"/>
              </w:rPr>
              <w:t xml:space="preserve"> and above. </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10132161" w14:textId="77777777" w:rsidR="000242EE" w:rsidRPr="00893668" w:rsidRDefault="000242EE" w:rsidP="000839C9">
            <w:pPr>
              <w:spacing w:after="0" w:line="240" w:lineRule="auto"/>
              <w:jc w:val="center"/>
              <w:rPr>
                <w:rFonts w:ascii="Calibri" w:eastAsia="Times New Roman" w:hAnsi="Calibri" w:cs="Times New Roman"/>
                <w:sz w:val="20"/>
                <w:szCs w:val="20"/>
              </w:rPr>
            </w:pPr>
            <w:r w:rsidRPr="00893668">
              <w:rPr>
                <w:rFonts w:ascii="Calibri" w:eastAsia="Times New Roman" w:hAnsi="Calibri" w:cs="Times New Roman"/>
                <w:sz w:val="20"/>
                <w:szCs w:val="20"/>
              </w:rPr>
              <w:t>0.03% to</w:t>
            </w:r>
          </w:p>
          <w:p w14:paraId="48F451C4" w14:textId="77777777" w:rsidR="000242EE" w:rsidRPr="00893668" w:rsidRDefault="000242EE" w:rsidP="000839C9">
            <w:pPr>
              <w:spacing w:after="0" w:line="240" w:lineRule="auto"/>
              <w:jc w:val="center"/>
              <w:rPr>
                <w:rFonts w:ascii="Calibri" w:eastAsia="Times New Roman" w:hAnsi="Calibri" w:cs="Times New Roman"/>
                <w:sz w:val="20"/>
                <w:szCs w:val="20"/>
              </w:rPr>
            </w:pPr>
            <w:r w:rsidRPr="00893668">
              <w:rPr>
                <w:rFonts w:ascii="Calibri" w:eastAsia="Times New Roman" w:hAnsi="Calibri" w:cs="Times New Roman"/>
                <w:sz w:val="20"/>
                <w:szCs w:val="20"/>
              </w:rPr>
              <w:t>0.06% increase</w:t>
            </w:r>
          </w:p>
          <w:p w14:paraId="5FF1A9A3" w14:textId="77777777" w:rsidR="000242EE" w:rsidRPr="00893668" w:rsidRDefault="000242EE" w:rsidP="000839C9">
            <w:pPr>
              <w:spacing w:after="0" w:line="240" w:lineRule="auto"/>
              <w:rPr>
                <w:rFonts w:ascii="Calibri" w:eastAsia="Times New Roman" w:hAnsi="Calibri" w:cs="Times New Roman"/>
                <w:sz w:val="20"/>
                <w:szCs w:val="20"/>
              </w:rPr>
            </w:pPr>
          </w:p>
        </w:tc>
        <w:tc>
          <w:tcPr>
            <w:tcW w:w="3330" w:type="dxa"/>
            <w:tcBorders>
              <w:top w:val="single" w:sz="4" w:space="0" w:color="auto"/>
              <w:left w:val="single" w:sz="4" w:space="0" w:color="auto"/>
              <w:bottom w:val="single" w:sz="4" w:space="0" w:color="auto"/>
              <w:right w:val="single" w:sz="4" w:space="0" w:color="auto"/>
            </w:tcBorders>
            <w:shd w:val="clear" w:color="auto" w:fill="auto"/>
            <w:vAlign w:val="center"/>
          </w:tcPr>
          <w:p w14:paraId="5505BF76" w14:textId="77777777" w:rsidR="000242EE" w:rsidRPr="00893668" w:rsidRDefault="000242EE" w:rsidP="000839C9">
            <w:pPr>
              <w:spacing w:after="0" w:line="240" w:lineRule="auto"/>
              <w:rPr>
                <w:rFonts w:ascii="Calibri" w:eastAsia="Times New Roman" w:hAnsi="Calibri" w:cs="Times New Roman"/>
                <w:sz w:val="20"/>
                <w:szCs w:val="20"/>
              </w:rPr>
            </w:pPr>
            <w:r w:rsidRPr="00893668">
              <w:rPr>
                <w:rFonts w:ascii="Calibri" w:eastAsia="Times New Roman" w:hAnsi="Calibri" w:cs="Times New Roman"/>
                <w:sz w:val="20"/>
                <w:szCs w:val="20"/>
              </w:rPr>
              <w:t>Civil penalties of at least $500 but no more $2,000 for each category of data not provided, and for each day the violation has existed.</w:t>
            </w:r>
          </w:p>
        </w:tc>
      </w:tr>
      <w:tr w:rsidR="000242EE" w:rsidRPr="00E51E13" w14:paraId="540A0323" w14:textId="77777777" w:rsidTr="00ED39D7">
        <w:trPr>
          <w:trHeight w:val="1358"/>
        </w:trPr>
        <w:tc>
          <w:tcPr>
            <w:tcW w:w="450" w:type="dxa"/>
            <w:vMerge/>
            <w:tcBorders>
              <w:top w:val="single" w:sz="4" w:space="0" w:color="auto"/>
              <w:left w:val="single" w:sz="4" w:space="0" w:color="auto"/>
              <w:bottom w:val="single" w:sz="4" w:space="0" w:color="auto"/>
              <w:right w:val="single" w:sz="4" w:space="0" w:color="auto"/>
            </w:tcBorders>
            <w:shd w:val="clear" w:color="000000" w:fill="E4DFEC"/>
            <w:textDirection w:val="btLr"/>
            <w:vAlign w:val="center"/>
            <w:hideMark/>
          </w:tcPr>
          <w:p w14:paraId="4CA7DFEA" w14:textId="77777777" w:rsidR="000242EE" w:rsidRPr="00E51E13" w:rsidRDefault="000242EE" w:rsidP="000839C9">
            <w:pPr>
              <w:spacing w:after="0" w:line="240" w:lineRule="auto"/>
              <w:jc w:val="center"/>
              <w:rPr>
                <w:rFonts w:ascii="Calibri" w:eastAsia="Times New Roman" w:hAnsi="Calibri" w:cs="Times New Roman"/>
                <w:b/>
                <w:bCs/>
                <w:color w:val="000000"/>
              </w:rPr>
            </w:pPr>
          </w:p>
        </w:tc>
        <w:tc>
          <w:tcPr>
            <w:tcW w:w="56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F45FE1B" w14:textId="77777777" w:rsidR="000242EE" w:rsidRPr="00BF2498" w:rsidRDefault="000242EE" w:rsidP="000839C9">
            <w:pPr>
              <w:spacing w:after="0" w:line="240" w:lineRule="auto"/>
              <w:rPr>
                <w:rFonts w:ascii="Calibri" w:eastAsia="Times New Roman" w:hAnsi="Calibri" w:cs="Times New Roman"/>
                <w:i/>
                <w:iCs/>
                <w:color w:val="000000"/>
                <w:sz w:val="20"/>
                <w:szCs w:val="20"/>
              </w:rPr>
            </w:pPr>
            <w:r w:rsidRPr="00BF2498">
              <w:rPr>
                <w:rFonts w:ascii="Calibri" w:eastAsia="Times New Roman" w:hAnsi="Calibri" w:cs="Times New Roman"/>
                <w:b/>
                <w:bCs/>
                <w:i/>
                <w:iCs/>
                <w:color w:val="000000"/>
                <w:sz w:val="20"/>
                <w:szCs w:val="20"/>
              </w:rPr>
              <w:t>Energy Efficiency Programs / AB 758 (2009):</w:t>
            </w:r>
            <w:r w:rsidRPr="00BF2498">
              <w:rPr>
                <w:rFonts w:ascii="Calibri" w:eastAsia="Times New Roman" w:hAnsi="Calibri" w:cs="Times New Roman"/>
                <w:i/>
                <w:iCs/>
                <w:color w:val="000000"/>
                <w:sz w:val="20"/>
                <w:szCs w:val="20"/>
              </w:rPr>
              <w:t xml:space="preserve"> Requires development of a comprehensive program to achieve greater energy savings in existing residential and nonresidential building stock.</w:t>
            </w:r>
          </w:p>
          <w:p w14:paraId="1B323371" w14:textId="77777777" w:rsidR="000242EE" w:rsidRPr="00BF2498" w:rsidRDefault="000242EE" w:rsidP="000839C9">
            <w:pPr>
              <w:spacing w:after="0" w:line="240" w:lineRule="auto"/>
              <w:rPr>
                <w:rFonts w:ascii="Calibri" w:eastAsia="Times New Roman" w:hAnsi="Calibri" w:cs="Times New Roman"/>
                <w:i/>
                <w:iCs/>
                <w:color w:val="000000"/>
                <w:sz w:val="20"/>
                <w:szCs w:val="20"/>
              </w:rPr>
            </w:pPr>
            <w:r w:rsidRPr="00BF2498">
              <w:rPr>
                <w:rFonts w:ascii="Calibri" w:eastAsia="Times New Roman" w:hAnsi="Calibri" w:cs="Times New Roman"/>
                <w:b/>
                <w:bCs/>
                <w:i/>
                <w:iCs/>
                <w:color w:val="000000"/>
                <w:sz w:val="20"/>
                <w:szCs w:val="20"/>
              </w:rPr>
              <w:t>Energy Efficiency Programs / AB 2021 (2006):</w:t>
            </w:r>
            <w:r w:rsidRPr="00BF2498">
              <w:rPr>
                <w:rFonts w:ascii="Calibri" w:eastAsia="Times New Roman" w:hAnsi="Calibri" w:cs="Times New Roman"/>
                <w:i/>
                <w:iCs/>
                <w:color w:val="000000"/>
                <w:sz w:val="20"/>
                <w:szCs w:val="20"/>
              </w:rPr>
              <w:t xml:space="preserve"> Requires annual targets to be set for energy efficiency saving and </w:t>
            </w:r>
            <w:r w:rsidRPr="00BF2498">
              <w:rPr>
                <w:rFonts w:ascii="Calibri" w:eastAsia="Times New Roman" w:hAnsi="Calibri" w:cs="Times New Roman"/>
                <w:i/>
                <w:iCs/>
                <w:sz w:val="20"/>
                <w:szCs w:val="20"/>
              </w:rPr>
              <w:t xml:space="preserve">demand reductions for the 10-year period </w:t>
            </w:r>
            <w:r w:rsidRPr="00BF2498">
              <w:rPr>
                <w:rFonts w:ascii="Calibri" w:eastAsia="Times New Roman" w:hAnsi="Calibri" w:cs="Times New Roman"/>
                <w:b/>
                <w:i/>
                <w:iCs/>
                <w:sz w:val="20"/>
                <w:szCs w:val="20"/>
                <w:u w:val="single"/>
              </w:rPr>
              <w:t>between</w:t>
            </w:r>
            <w:r w:rsidRPr="00BF2498">
              <w:rPr>
                <w:rFonts w:ascii="Calibri" w:eastAsia="Times New Roman" w:hAnsi="Calibri" w:cs="Times New Roman"/>
                <w:i/>
                <w:iCs/>
                <w:sz w:val="20"/>
                <w:szCs w:val="20"/>
                <w:u w:val="single"/>
              </w:rPr>
              <w:t xml:space="preserve"> </w:t>
            </w:r>
            <w:r w:rsidRPr="00BF2498">
              <w:rPr>
                <w:rFonts w:ascii="Calibri" w:eastAsia="Times New Roman" w:hAnsi="Calibri" w:cs="Times New Roman"/>
                <w:b/>
                <w:i/>
                <w:iCs/>
                <w:sz w:val="20"/>
                <w:szCs w:val="20"/>
                <w:u w:val="single"/>
              </w:rPr>
              <w:t>2007 and 2016</w:t>
            </w:r>
            <w:r w:rsidRPr="00BF2498">
              <w:rPr>
                <w:rFonts w:ascii="Calibri" w:eastAsia="Times New Roman" w:hAnsi="Calibri" w:cs="Times New Roman"/>
                <w:i/>
                <w:iCs/>
                <w:sz w:val="20"/>
                <w:szCs w:val="20"/>
              </w:rPr>
              <w:t xml:space="preserve">. Requires </w:t>
            </w:r>
            <w:r w:rsidRPr="00BF2498">
              <w:rPr>
                <w:rFonts w:ascii="Calibri" w:eastAsia="Times New Roman" w:hAnsi="Calibri" w:cs="Times New Roman"/>
                <w:i/>
                <w:iCs/>
                <w:color w:val="000000"/>
                <w:sz w:val="20"/>
                <w:szCs w:val="20"/>
              </w:rPr>
              <w:t xml:space="preserve">annual reporting to customers and the California Energy Commission. </w:t>
            </w:r>
          </w:p>
          <w:p w14:paraId="6FEC4386" w14:textId="77777777" w:rsidR="000242EE" w:rsidRPr="00BF2498" w:rsidRDefault="000242EE" w:rsidP="000839C9">
            <w:pPr>
              <w:spacing w:after="0" w:line="240" w:lineRule="auto"/>
              <w:rPr>
                <w:rFonts w:ascii="Calibri" w:eastAsia="Times New Roman" w:hAnsi="Calibri" w:cs="Times New Roman"/>
                <w:i/>
                <w:iCs/>
                <w:color w:val="000000"/>
                <w:sz w:val="20"/>
                <w:szCs w:val="20"/>
              </w:rPr>
            </w:pPr>
            <w:r w:rsidRPr="00BF2498">
              <w:rPr>
                <w:rFonts w:ascii="Calibri" w:eastAsia="Times New Roman" w:hAnsi="Calibri" w:cs="Times New Roman"/>
                <w:b/>
                <w:bCs/>
                <w:i/>
                <w:iCs/>
                <w:color w:val="000000"/>
                <w:sz w:val="20"/>
                <w:szCs w:val="20"/>
              </w:rPr>
              <w:t xml:space="preserve">Generating Resource Loading Order / SB 1037 (2005): </w:t>
            </w:r>
            <w:r w:rsidRPr="00BF2498">
              <w:rPr>
                <w:rFonts w:ascii="Calibri" w:eastAsia="Times New Roman" w:hAnsi="Calibri" w:cs="Times New Roman"/>
                <w:i/>
                <w:iCs/>
                <w:color w:val="000000"/>
                <w:sz w:val="20"/>
                <w:szCs w:val="20"/>
              </w:rPr>
              <w:t xml:space="preserve">Requires utilities to utilize cost-effective, feasible and reliable energy efficiency and demand reduction resources </w:t>
            </w:r>
            <w:r w:rsidRPr="00BF2498">
              <w:rPr>
                <w:rFonts w:ascii="Calibri" w:eastAsia="Times New Roman" w:hAnsi="Calibri" w:cs="Times New Roman"/>
                <w:i/>
                <w:iCs/>
                <w:color w:val="000000"/>
                <w:sz w:val="20"/>
                <w:szCs w:val="20"/>
                <w:u w:val="single"/>
              </w:rPr>
              <w:t>before</w:t>
            </w:r>
            <w:r w:rsidRPr="00BF2498">
              <w:rPr>
                <w:rFonts w:ascii="Calibri" w:eastAsia="Times New Roman" w:hAnsi="Calibri" w:cs="Times New Roman"/>
                <w:i/>
                <w:iCs/>
                <w:color w:val="000000"/>
                <w:sz w:val="20"/>
                <w:szCs w:val="20"/>
              </w:rPr>
              <w:t xml:space="preserve"> procuring fossil fueled resources. </w:t>
            </w:r>
          </w:p>
          <w:p w14:paraId="55E764D6" w14:textId="77777777" w:rsidR="000242EE" w:rsidRPr="00BF2498" w:rsidRDefault="000242EE" w:rsidP="000839C9">
            <w:pPr>
              <w:spacing w:after="0" w:line="240" w:lineRule="auto"/>
              <w:rPr>
                <w:rFonts w:ascii="Calibri" w:eastAsia="Times New Roman" w:hAnsi="Calibri" w:cs="Times New Roman"/>
                <w:b/>
                <w:bCs/>
                <w:i/>
                <w:iCs/>
                <w:color w:val="000000"/>
                <w:sz w:val="20"/>
                <w:szCs w:val="20"/>
              </w:rPr>
            </w:pPr>
          </w:p>
        </w:tc>
        <w:tc>
          <w:tcPr>
            <w:tcW w:w="3420" w:type="dxa"/>
            <w:vMerge w:val="restart"/>
            <w:tcBorders>
              <w:top w:val="single" w:sz="4" w:space="0" w:color="auto"/>
              <w:left w:val="nil"/>
              <w:bottom w:val="single" w:sz="4" w:space="0" w:color="auto"/>
              <w:right w:val="single" w:sz="4" w:space="0" w:color="auto"/>
            </w:tcBorders>
            <w:shd w:val="clear" w:color="auto" w:fill="auto"/>
            <w:vAlign w:val="center"/>
            <w:hideMark/>
          </w:tcPr>
          <w:p w14:paraId="29145B02" w14:textId="77777777" w:rsidR="000242EE" w:rsidRPr="00BF2498" w:rsidRDefault="000242EE" w:rsidP="000839C9">
            <w:pPr>
              <w:spacing w:after="0" w:line="240" w:lineRule="auto"/>
              <w:rPr>
                <w:rFonts w:ascii="Calibri" w:eastAsia="Times New Roman" w:hAnsi="Calibri" w:cs="Times New Roman"/>
                <w:i/>
                <w:iCs/>
                <w:sz w:val="20"/>
                <w:szCs w:val="20"/>
              </w:rPr>
            </w:pPr>
            <w:r w:rsidRPr="00BF2498">
              <w:rPr>
                <w:rFonts w:ascii="Calibri" w:eastAsia="Times New Roman" w:hAnsi="Calibri" w:cs="Times New Roman"/>
                <w:i/>
                <w:iCs/>
                <w:sz w:val="20"/>
                <w:szCs w:val="20"/>
              </w:rPr>
              <w:t xml:space="preserve">Cost to accelerate energy efficiency / demand reduction by 1% a year, to reach the 10% goal required </w:t>
            </w:r>
            <w:r w:rsidRPr="00BF2498">
              <w:rPr>
                <w:rFonts w:ascii="Calibri" w:eastAsia="Times New Roman" w:hAnsi="Calibri" w:cs="Times New Roman"/>
                <w:i/>
                <w:iCs/>
                <w:sz w:val="20"/>
                <w:szCs w:val="20"/>
                <w:u w:val="single"/>
              </w:rPr>
              <w:t>over a 10-year time horizon</w:t>
            </w:r>
            <w:r w:rsidRPr="00BF2498">
              <w:rPr>
                <w:rFonts w:ascii="Calibri" w:eastAsia="Times New Roman" w:hAnsi="Calibri" w:cs="Times New Roman"/>
                <w:i/>
                <w:iCs/>
                <w:sz w:val="20"/>
                <w:szCs w:val="20"/>
              </w:rPr>
              <w:t xml:space="preserve">: $60 million (2007-2016) or approximately $5.2 million annually.                                                                        </w:t>
            </w:r>
          </w:p>
        </w:tc>
        <w:tc>
          <w:tcPr>
            <w:tcW w:w="16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F41979" w14:textId="77777777" w:rsidR="000242EE" w:rsidRPr="00BF2498" w:rsidRDefault="000242EE" w:rsidP="000839C9">
            <w:pPr>
              <w:spacing w:after="0" w:line="240" w:lineRule="auto"/>
              <w:jc w:val="center"/>
              <w:rPr>
                <w:rFonts w:ascii="Calibri" w:eastAsia="Times New Roman" w:hAnsi="Calibri" w:cs="Times New Roman"/>
                <w:sz w:val="20"/>
                <w:szCs w:val="20"/>
              </w:rPr>
            </w:pPr>
            <w:r w:rsidRPr="00BF2498">
              <w:rPr>
                <w:rFonts w:ascii="Calibri" w:eastAsia="Times New Roman" w:hAnsi="Calibri" w:cs="Times New Roman"/>
                <w:sz w:val="20"/>
                <w:szCs w:val="20"/>
              </w:rPr>
              <w:t>1.6% increase</w:t>
            </w:r>
          </w:p>
        </w:tc>
        <w:tc>
          <w:tcPr>
            <w:tcW w:w="33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B81DDD9" w14:textId="77777777" w:rsidR="000242EE" w:rsidRPr="00BF2498" w:rsidRDefault="000242EE" w:rsidP="000839C9">
            <w:pPr>
              <w:spacing w:after="0" w:line="240" w:lineRule="auto"/>
              <w:rPr>
                <w:rFonts w:ascii="Calibri" w:eastAsia="Times New Roman" w:hAnsi="Calibri" w:cs="Times New Roman"/>
                <w:color w:val="000000"/>
                <w:sz w:val="20"/>
                <w:szCs w:val="20"/>
              </w:rPr>
            </w:pPr>
            <w:r w:rsidRPr="00BF2498">
              <w:rPr>
                <w:rFonts w:ascii="Calibri" w:eastAsia="Times New Roman" w:hAnsi="Calibri" w:cs="Times New Roman"/>
                <w:color w:val="000000"/>
                <w:sz w:val="20"/>
                <w:szCs w:val="20"/>
              </w:rPr>
              <w:t xml:space="preserve">Financial penalties not specified. California Energy Commission is authorized to review program and </w:t>
            </w:r>
            <w:proofErr w:type="gramStart"/>
            <w:r w:rsidRPr="00BF2498">
              <w:rPr>
                <w:rFonts w:ascii="Calibri" w:eastAsia="Times New Roman" w:hAnsi="Calibri" w:cs="Times New Roman"/>
                <w:color w:val="000000"/>
                <w:sz w:val="20"/>
                <w:szCs w:val="20"/>
              </w:rPr>
              <w:t>targets, and</w:t>
            </w:r>
            <w:proofErr w:type="gramEnd"/>
            <w:r w:rsidRPr="00BF2498">
              <w:rPr>
                <w:rFonts w:ascii="Calibri" w:eastAsia="Times New Roman" w:hAnsi="Calibri" w:cs="Times New Roman"/>
                <w:color w:val="000000"/>
                <w:sz w:val="20"/>
                <w:szCs w:val="20"/>
              </w:rPr>
              <w:t xml:space="preserve"> provide recommendations for possible improvements.</w:t>
            </w:r>
          </w:p>
        </w:tc>
      </w:tr>
      <w:tr w:rsidR="000242EE" w:rsidRPr="00E51E13" w14:paraId="1B83B3FC" w14:textId="77777777" w:rsidTr="00ED39D7">
        <w:trPr>
          <w:trHeight w:val="1439"/>
        </w:trPr>
        <w:tc>
          <w:tcPr>
            <w:tcW w:w="450" w:type="dxa"/>
            <w:vMerge/>
            <w:tcBorders>
              <w:top w:val="single" w:sz="4" w:space="0" w:color="auto"/>
              <w:left w:val="single" w:sz="4" w:space="0" w:color="auto"/>
              <w:bottom w:val="single" w:sz="4" w:space="0" w:color="auto"/>
              <w:right w:val="single" w:sz="4" w:space="0" w:color="auto"/>
            </w:tcBorders>
            <w:vAlign w:val="center"/>
            <w:hideMark/>
          </w:tcPr>
          <w:p w14:paraId="1F272E82" w14:textId="77777777" w:rsidR="000242EE" w:rsidRPr="00E51E13" w:rsidRDefault="000242EE" w:rsidP="000839C9">
            <w:pPr>
              <w:spacing w:after="0" w:line="240" w:lineRule="auto"/>
              <w:jc w:val="center"/>
              <w:rPr>
                <w:rFonts w:ascii="Calibri" w:eastAsia="Times New Roman" w:hAnsi="Calibri" w:cs="Times New Roman"/>
                <w:b/>
                <w:bCs/>
                <w:color w:val="000000"/>
              </w:rPr>
            </w:pPr>
          </w:p>
        </w:tc>
        <w:tc>
          <w:tcPr>
            <w:tcW w:w="5652" w:type="dxa"/>
            <w:vMerge/>
            <w:tcBorders>
              <w:top w:val="single" w:sz="4" w:space="0" w:color="auto"/>
              <w:left w:val="single" w:sz="4" w:space="0" w:color="auto"/>
              <w:bottom w:val="single" w:sz="4" w:space="0" w:color="auto"/>
              <w:right w:val="single" w:sz="4" w:space="0" w:color="auto"/>
            </w:tcBorders>
            <w:vAlign w:val="center"/>
            <w:hideMark/>
          </w:tcPr>
          <w:p w14:paraId="3D2FEE12" w14:textId="77777777" w:rsidR="000242EE" w:rsidRPr="00BF2498" w:rsidRDefault="000242EE" w:rsidP="000839C9">
            <w:pPr>
              <w:spacing w:after="0" w:line="240" w:lineRule="auto"/>
              <w:rPr>
                <w:rFonts w:ascii="Calibri" w:eastAsia="Times New Roman" w:hAnsi="Calibri" w:cs="Times New Roman"/>
                <w:b/>
                <w:bCs/>
                <w:i/>
                <w:iCs/>
                <w:color w:val="000000"/>
                <w:sz w:val="20"/>
                <w:szCs w:val="20"/>
              </w:rPr>
            </w:pPr>
          </w:p>
        </w:tc>
        <w:tc>
          <w:tcPr>
            <w:tcW w:w="3420" w:type="dxa"/>
            <w:vMerge/>
            <w:tcBorders>
              <w:top w:val="single" w:sz="4" w:space="0" w:color="auto"/>
              <w:left w:val="nil"/>
              <w:bottom w:val="single" w:sz="4" w:space="0" w:color="auto"/>
              <w:right w:val="single" w:sz="4" w:space="0" w:color="auto"/>
            </w:tcBorders>
            <w:vAlign w:val="center"/>
            <w:hideMark/>
          </w:tcPr>
          <w:p w14:paraId="72CCEEE5" w14:textId="77777777" w:rsidR="000242EE" w:rsidRPr="00BF2498" w:rsidRDefault="000242EE" w:rsidP="000839C9">
            <w:pPr>
              <w:spacing w:after="0" w:line="240" w:lineRule="auto"/>
              <w:rPr>
                <w:rFonts w:ascii="Calibri" w:eastAsia="Times New Roman" w:hAnsi="Calibri" w:cs="Times New Roman"/>
                <w:i/>
                <w:iCs/>
                <w:sz w:val="20"/>
                <w:szCs w:val="20"/>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14:paraId="3AF5B689" w14:textId="77777777" w:rsidR="000242EE" w:rsidRPr="00BF2498" w:rsidRDefault="000242EE" w:rsidP="000839C9">
            <w:pPr>
              <w:spacing w:after="0" w:line="240" w:lineRule="auto"/>
              <w:rPr>
                <w:rFonts w:ascii="Calibri" w:eastAsia="Times New Roman" w:hAnsi="Calibri" w:cs="Times New Roman"/>
                <w:sz w:val="20"/>
                <w:szCs w:val="20"/>
              </w:rPr>
            </w:pPr>
          </w:p>
        </w:tc>
        <w:tc>
          <w:tcPr>
            <w:tcW w:w="3330" w:type="dxa"/>
            <w:vMerge/>
            <w:tcBorders>
              <w:top w:val="single" w:sz="4" w:space="0" w:color="auto"/>
              <w:left w:val="single" w:sz="4" w:space="0" w:color="auto"/>
              <w:bottom w:val="single" w:sz="4" w:space="0" w:color="auto"/>
              <w:right w:val="single" w:sz="4" w:space="0" w:color="auto"/>
            </w:tcBorders>
            <w:vAlign w:val="center"/>
            <w:hideMark/>
          </w:tcPr>
          <w:p w14:paraId="7F687C9C" w14:textId="77777777" w:rsidR="000242EE" w:rsidRPr="00BF2498" w:rsidRDefault="000242EE" w:rsidP="000839C9">
            <w:pPr>
              <w:spacing w:after="0" w:line="240" w:lineRule="auto"/>
              <w:rPr>
                <w:rFonts w:ascii="Calibri" w:eastAsia="Times New Roman" w:hAnsi="Calibri" w:cs="Times New Roman"/>
                <w:color w:val="000000"/>
                <w:sz w:val="20"/>
                <w:szCs w:val="20"/>
              </w:rPr>
            </w:pPr>
          </w:p>
        </w:tc>
      </w:tr>
      <w:tr w:rsidR="000242EE" w:rsidRPr="00E51E13" w14:paraId="6F55C69F" w14:textId="77777777" w:rsidTr="00ED39D7">
        <w:trPr>
          <w:trHeight w:val="1330"/>
        </w:trPr>
        <w:tc>
          <w:tcPr>
            <w:tcW w:w="450" w:type="dxa"/>
            <w:vMerge/>
            <w:tcBorders>
              <w:top w:val="single" w:sz="4" w:space="0" w:color="auto"/>
              <w:left w:val="single" w:sz="4" w:space="0" w:color="auto"/>
              <w:bottom w:val="single" w:sz="4" w:space="0" w:color="auto"/>
              <w:right w:val="single" w:sz="4" w:space="0" w:color="auto"/>
            </w:tcBorders>
            <w:vAlign w:val="center"/>
            <w:hideMark/>
          </w:tcPr>
          <w:p w14:paraId="269C8E36" w14:textId="77777777" w:rsidR="000242EE" w:rsidRPr="00E51E13" w:rsidRDefault="000242EE" w:rsidP="000839C9">
            <w:pPr>
              <w:spacing w:after="0" w:line="240" w:lineRule="auto"/>
              <w:jc w:val="center"/>
              <w:rPr>
                <w:rFonts w:ascii="Calibri" w:eastAsia="Times New Roman" w:hAnsi="Calibri" w:cs="Times New Roman"/>
                <w:b/>
                <w:bCs/>
                <w:color w:val="000000"/>
              </w:rPr>
            </w:pPr>
          </w:p>
        </w:tc>
        <w:tc>
          <w:tcPr>
            <w:tcW w:w="5652" w:type="dxa"/>
            <w:vMerge/>
            <w:tcBorders>
              <w:top w:val="single" w:sz="4" w:space="0" w:color="auto"/>
              <w:left w:val="single" w:sz="4" w:space="0" w:color="auto"/>
              <w:bottom w:val="single" w:sz="4" w:space="0" w:color="auto"/>
              <w:right w:val="single" w:sz="4" w:space="0" w:color="auto"/>
            </w:tcBorders>
            <w:vAlign w:val="center"/>
            <w:hideMark/>
          </w:tcPr>
          <w:p w14:paraId="5F0861EA" w14:textId="77777777" w:rsidR="000242EE" w:rsidRPr="00BF2498" w:rsidRDefault="000242EE" w:rsidP="000839C9">
            <w:pPr>
              <w:spacing w:after="0" w:line="240" w:lineRule="auto"/>
              <w:rPr>
                <w:rFonts w:ascii="Calibri" w:eastAsia="Times New Roman" w:hAnsi="Calibri" w:cs="Times New Roman"/>
                <w:b/>
                <w:bCs/>
                <w:i/>
                <w:iCs/>
                <w:color w:val="000000"/>
                <w:sz w:val="20"/>
                <w:szCs w:val="20"/>
              </w:rPr>
            </w:pPr>
          </w:p>
        </w:tc>
        <w:tc>
          <w:tcPr>
            <w:tcW w:w="3420" w:type="dxa"/>
            <w:vMerge/>
            <w:tcBorders>
              <w:top w:val="single" w:sz="4" w:space="0" w:color="auto"/>
              <w:left w:val="nil"/>
              <w:bottom w:val="single" w:sz="4" w:space="0" w:color="auto"/>
              <w:right w:val="single" w:sz="4" w:space="0" w:color="auto"/>
            </w:tcBorders>
            <w:vAlign w:val="center"/>
            <w:hideMark/>
          </w:tcPr>
          <w:p w14:paraId="5FA145F7" w14:textId="77777777" w:rsidR="000242EE" w:rsidRPr="00BF2498" w:rsidRDefault="000242EE" w:rsidP="000839C9">
            <w:pPr>
              <w:spacing w:after="0" w:line="240" w:lineRule="auto"/>
              <w:rPr>
                <w:rFonts w:ascii="Calibri" w:eastAsia="Times New Roman" w:hAnsi="Calibri" w:cs="Times New Roman"/>
                <w:i/>
                <w:iCs/>
                <w:sz w:val="20"/>
                <w:szCs w:val="20"/>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14:paraId="49060D84" w14:textId="77777777" w:rsidR="000242EE" w:rsidRPr="00BF2498" w:rsidRDefault="000242EE" w:rsidP="000839C9">
            <w:pPr>
              <w:spacing w:after="0" w:line="240" w:lineRule="auto"/>
              <w:rPr>
                <w:rFonts w:ascii="Calibri" w:eastAsia="Times New Roman" w:hAnsi="Calibri" w:cs="Times New Roman"/>
                <w:sz w:val="20"/>
                <w:szCs w:val="20"/>
              </w:rPr>
            </w:pPr>
          </w:p>
        </w:tc>
        <w:tc>
          <w:tcPr>
            <w:tcW w:w="3330" w:type="dxa"/>
            <w:vMerge/>
            <w:tcBorders>
              <w:top w:val="single" w:sz="4" w:space="0" w:color="auto"/>
              <w:left w:val="single" w:sz="4" w:space="0" w:color="auto"/>
              <w:bottom w:val="single" w:sz="4" w:space="0" w:color="auto"/>
              <w:right w:val="single" w:sz="4" w:space="0" w:color="auto"/>
            </w:tcBorders>
            <w:vAlign w:val="center"/>
            <w:hideMark/>
          </w:tcPr>
          <w:p w14:paraId="0841534E" w14:textId="77777777" w:rsidR="000242EE" w:rsidRPr="00BF2498" w:rsidRDefault="000242EE" w:rsidP="000839C9">
            <w:pPr>
              <w:spacing w:after="0" w:line="240" w:lineRule="auto"/>
              <w:rPr>
                <w:rFonts w:ascii="Calibri" w:eastAsia="Times New Roman" w:hAnsi="Calibri" w:cs="Times New Roman"/>
                <w:color w:val="000000"/>
                <w:sz w:val="20"/>
                <w:szCs w:val="20"/>
              </w:rPr>
            </w:pPr>
          </w:p>
        </w:tc>
      </w:tr>
    </w:tbl>
    <w:p w14:paraId="48B1B8D3" w14:textId="3FC2F733" w:rsidR="00ED39D7" w:rsidRDefault="00ED39D7"/>
    <w:p w14:paraId="35923E9D" w14:textId="77777777" w:rsidR="00ED39D7" w:rsidRDefault="00ED39D7">
      <w:r>
        <w:br w:type="page"/>
      </w:r>
    </w:p>
    <w:tbl>
      <w:tblPr>
        <w:tblW w:w="14472" w:type="dxa"/>
        <w:tblInd w:w="-162" w:type="dxa"/>
        <w:tblLayout w:type="fixed"/>
        <w:tblLook w:val="04A0" w:firstRow="1" w:lastRow="0" w:firstColumn="1" w:lastColumn="0" w:noHBand="0" w:noVBand="1"/>
      </w:tblPr>
      <w:tblGrid>
        <w:gridCol w:w="450"/>
        <w:gridCol w:w="5652"/>
        <w:gridCol w:w="3330"/>
        <w:gridCol w:w="1800"/>
        <w:gridCol w:w="3240"/>
      </w:tblGrid>
      <w:tr w:rsidR="000242EE" w:rsidRPr="00E51E13" w14:paraId="48097AFC" w14:textId="77777777" w:rsidTr="00ED39D7">
        <w:trPr>
          <w:trHeight w:val="620"/>
        </w:trPr>
        <w:tc>
          <w:tcPr>
            <w:tcW w:w="450" w:type="dxa"/>
            <w:tcBorders>
              <w:top w:val="nil"/>
              <w:left w:val="nil"/>
              <w:bottom w:val="single" w:sz="4" w:space="0" w:color="auto"/>
              <w:right w:val="nil"/>
            </w:tcBorders>
            <w:shd w:val="clear" w:color="auto" w:fill="auto"/>
            <w:noWrap/>
            <w:vAlign w:val="bottom"/>
            <w:hideMark/>
          </w:tcPr>
          <w:p w14:paraId="650C4241" w14:textId="77777777" w:rsidR="000242EE" w:rsidRPr="00E51E13" w:rsidRDefault="000242EE" w:rsidP="0067642A">
            <w:pPr>
              <w:spacing w:after="0" w:line="240" w:lineRule="auto"/>
              <w:rPr>
                <w:rFonts w:ascii="Calibri" w:eastAsia="Times New Roman" w:hAnsi="Calibri" w:cs="Times New Roman"/>
                <w:b/>
                <w:bCs/>
                <w:color w:val="000000"/>
                <w:sz w:val="18"/>
                <w:szCs w:val="18"/>
              </w:rPr>
            </w:pPr>
            <w:r>
              <w:lastRenderedPageBreak/>
              <w:br w:type="page"/>
            </w:r>
          </w:p>
        </w:tc>
        <w:tc>
          <w:tcPr>
            <w:tcW w:w="5652" w:type="dxa"/>
            <w:tcBorders>
              <w:left w:val="nil"/>
              <w:bottom w:val="single" w:sz="4" w:space="0" w:color="auto"/>
              <w:right w:val="single" w:sz="4" w:space="0" w:color="auto"/>
            </w:tcBorders>
            <w:shd w:val="clear" w:color="auto" w:fill="auto"/>
            <w:noWrap/>
            <w:vAlign w:val="bottom"/>
            <w:hideMark/>
          </w:tcPr>
          <w:p w14:paraId="22569C05" w14:textId="77777777" w:rsidR="000242EE" w:rsidRPr="00E51E13" w:rsidRDefault="000242EE" w:rsidP="0067642A">
            <w:pPr>
              <w:spacing w:after="0" w:line="240" w:lineRule="auto"/>
              <w:jc w:val="center"/>
              <w:rPr>
                <w:rFonts w:ascii="Calibri" w:eastAsia="Times New Roman" w:hAnsi="Calibri" w:cs="Times New Roman"/>
                <w:b/>
                <w:bCs/>
                <w:color w:val="000000"/>
                <w:sz w:val="18"/>
                <w:szCs w:val="18"/>
              </w:rPr>
            </w:pPr>
            <w:r w:rsidRPr="00E51E13">
              <w:rPr>
                <w:rFonts w:ascii="Calibri" w:eastAsia="Times New Roman" w:hAnsi="Calibri" w:cs="Times New Roman"/>
                <w:b/>
                <w:bCs/>
                <w:color w:val="000000"/>
                <w:sz w:val="18"/>
                <w:szCs w:val="18"/>
              </w:rPr>
              <w:t xml:space="preserve"> </w:t>
            </w:r>
          </w:p>
        </w:tc>
        <w:tc>
          <w:tcPr>
            <w:tcW w:w="3330" w:type="dxa"/>
            <w:tcBorders>
              <w:top w:val="single" w:sz="4" w:space="0" w:color="auto"/>
              <w:left w:val="single" w:sz="4" w:space="0" w:color="auto"/>
              <w:bottom w:val="single" w:sz="4" w:space="0" w:color="auto"/>
              <w:right w:val="single" w:sz="4" w:space="0" w:color="auto"/>
            </w:tcBorders>
            <w:shd w:val="clear" w:color="000000" w:fill="F2DCDB"/>
            <w:vAlign w:val="center"/>
            <w:hideMark/>
          </w:tcPr>
          <w:p w14:paraId="6FAC2E93" w14:textId="77777777" w:rsidR="000242EE" w:rsidRPr="00E51E13" w:rsidRDefault="000242EE" w:rsidP="0067642A">
            <w:pPr>
              <w:spacing w:after="0" w:line="240" w:lineRule="auto"/>
              <w:jc w:val="center"/>
              <w:rPr>
                <w:rFonts w:ascii="Calibri" w:eastAsia="Times New Roman" w:hAnsi="Calibri" w:cs="Times New Roman"/>
                <w:b/>
                <w:bCs/>
                <w:color w:val="000000"/>
              </w:rPr>
            </w:pPr>
            <w:r w:rsidRPr="00E51E13">
              <w:rPr>
                <w:rFonts w:ascii="Calibri" w:eastAsia="Times New Roman" w:hAnsi="Calibri" w:cs="Times New Roman"/>
                <w:b/>
                <w:bCs/>
                <w:color w:val="000000"/>
              </w:rPr>
              <w:t>Estimated Cost of Implementation</w:t>
            </w:r>
          </w:p>
        </w:tc>
        <w:tc>
          <w:tcPr>
            <w:tcW w:w="1800" w:type="dxa"/>
            <w:tcBorders>
              <w:top w:val="single" w:sz="4" w:space="0" w:color="auto"/>
              <w:left w:val="nil"/>
              <w:bottom w:val="single" w:sz="4" w:space="0" w:color="auto"/>
              <w:right w:val="single" w:sz="4" w:space="0" w:color="auto"/>
            </w:tcBorders>
            <w:shd w:val="clear" w:color="000000" w:fill="E4DFEC"/>
            <w:vAlign w:val="center"/>
            <w:hideMark/>
          </w:tcPr>
          <w:p w14:paraId="3B83B789" w14:textId="77777777" w:rsidR="000242EE" w:rsidRPr="00E51E13" w:rsidRDefault="000242EE" w:rsidP="0067642A">
            <w:pPr>
              <w:spacing w:after="0" w:line="240" w:lineRule="auto"/>
              <w:jc w:val="center"/>
              <w:rPr>
                <w:rFonts w:ascii="Calibri" w:eastAsia="Times New Roman" w:hAnsi="Calibri" w:cs="Times New Roman"/>
                <w:b/>
                <w:bCs/>
                <w:color w:val="000000"/>
              </w:rPr>
            </w:pPr>
            <w:r w:rsidRPr="00E51E13">
              <w:rPr>
                <w:rFonts w:ascii="Calibri" w:eastAsia="Times New Roman" w:hAnsi="Calibri" w:cs="Times New Roman"/>
                <w:b/>
                <w:bCs/>
                <w:color w:val="000000"/>
              </w:rPr>
              <w:t>Estimated Rate Impact</w:t>
            </w:r>
          </w:p>
        </w:tc>
        <w:tc>
          <w:tcPr>
            <w:tcW w:w="3240" w:type="dxa"/>
            <w:tcBorders>
              <w:top w:val="single" w:sz="4" w:space="0" w:color="auto"/>
              <w:left w:val="nil"/>
              <w:bottom w:val="single" w:sz="4" w:space="0" w:color="auto"/>
              <w:right w:val="single" w:sz="4" w:space="0" w:color="auto"/>
            </w:tcBorders>
            <w:shd w:val="clear" w:color="000000" w:fill="DAEEF3"/>
            <w:vAlign w:val="center"/>
            <w:hideMark/>
          </w:tcPr>
          <w:p w14:paraId="4724DF9B" w14:textId="77777777" w:rsidR="000242EE" w:rsidRPr="00E51E13" w:rsidRDefault="000242EE" w:rsidP="002F4C1A">
            <w:pPr>
              <w:spacing w:after="0" w:line="240" w:lineRule="auto"/>
              <w:jc w:val="center"/>
              <w:rPr>
                <w:rFonts w:ascii="Calibri" w:eastAsia="Times New Roman" w:hAnsi="Calibri" w:cs="Times New Roman"/>
                <w:b/>
                <w:bCs/>
                <w:color w:val="000000"/>
              </w:rPr>
            </w:pPr>
            <w:r w:rsidRPr="00E51E13">
              <w:rPr>
                <w:rFonts w:ascii="Calibri" w:eastAsia="Times New Roman" w:hAnsi="Calibri" w:cs="Times New Roman"/>
                <w:b/>
                <w:bCs/>
                <w:color w:val="000000"/>
              </w:rPr>
              <w:t>Penalties / Other Potential                                  Cost Impacts</w:t>
            </w:r>
          </w:p>
        </w:tc>
      </w:tr>
      <w:tr w:rsidR="000242EE" w:rsidRPr="00E51E13" w14:paraId="363F27ED" w14:textId="77777777" w:rsidTr="00ED39D7">
        <w:trPr>
          <w:trHeight w:val="1880"/>
        </w:trPr>
        <w:tc>
          <w:tcPr>
            <w:tcW w:w="450" w:type="dxa"/>
            <w:vMerge w:val="restart"/>
            <w:tcBorders>
              <w:top w:val="single" w:sz="4" w:space="0" w:color="auto"/>
              <w:left w:val="single" w:sz="4" w:space="0" w:color="auto"/>
              <w:right w:val="single" w:sz="4" w:space="0" w:color="auto"/>
            </w:tcBorders>
            <w:shd w:val="clear" w:color="000000" w:fill="EBF1DE"/>
            <w:textDirection w:val="btLr"/>
          </w:tcPr>
          <w:p w14:paraId="2EBFF2D5" w14:textId="77777777" w:rsidR="000242EE" w:rsidRPr="00E51E13" w:rsidRDefault="000242EE" w:rsidP="00C32AE8">
            <w:pPr>
              <w:spacing w:after="0" w:line="240" w:lineRule="auto"/>
              <w:jc w:val="center"/>
              <w:rPr>
                <w:rFonts w:ascii="Calibri" w:eastAsia="Times New Roman" w:hAnsi="Calibri" w:cs="Times New Roman"/>
                <w:b/>
                <w:bCs/>
                <w:color w:val="000000"/>
              </w:rPr>
            </w:pPr>
            <w:r w:rsidRPr="00E51E13">
              <w:rPr>
                <w:rFonts w:ascii="Calibri" w:eastAsia="Times New Roman" w:hAnsi="Calibri" w:cs="Times New Roman"/>
                <w:b/>
                <w:bCs/>
                <w:color w:val="000000"/>
              </w:rPr>
              <w:t>Solar Energy / Net Metering / Feed-in Tariffs</w:t>
            </w:r>
          </w:p>
        </w:tc>
        <w:tc>
          <w:tcPr>
            <w:tcW w:w="5652" w:type="dxa"/>
            <w:tcBorders>
              <w:top w:val="single" w:sz="4" w:space="0" w:color="auto"/>
              <w:left w:val="single" w:sz="4" w:space="0" w:color="auto"/>
              <w:bottom w:val="single" w:sz="4" w:space="0" w:color="auto"/>
              <w:right w:val="single" w:sz="4" w:space="0" w:color="auto"/>
            </w:tcBorders>
            <w:shd w:val="clear" w:color="auto" w:fill="auto"/>
            <w:vAlign w:val="center"/>
          </w:tcPr>
          <w:p w14:paraId="14D3B4B1" w14:textId="77777777" w:rsidR="000242EE" w:rsidRPr="00E51E13" w:rsidRDefault="000242EE" w:rsidP="0067642A">
            <w:pPr>
              <w:spacing w:after="0" w:line="240" w:lineRule="auto"/>
              <w:rPr>
                <w:rFonts w:ascii="Calibri" w:eastAsia="Times New Roman" w:hAnsi="Calibri" w:cs="Times New Roman"/>
                <w:b/>
                <w:bCs/>
                <w:i/>
                <w:iCs/>
                <w:sz w:val="20"/>
                <w:szCs w:val="20"/>
              </w:rPr>
            </w:pPr>
            <w:r w:rsidRPr="00E51E13">
              <w:rPr>
                <w:rFonts w:ascii="Calibri" w:eastAsia="Times New Roman" w:hAnsi="Calibri" w:cs="Times New Roman"/>
                <w:b/>
                <w:bCs/>
                <w:i/>
                <w:iCs/>
                <w:sz w:val="20"/>
                <w:szCs w:val="20"/>
              </w:rPr>
              <w:t>Net Metering Load Aggregation / SB 594 (2012):</w:t>
            </w:r>
            <w:r w:rsidRPr="00E51E13">
              <w:rPr>
                <w:rFonts w:ascii="Calibri" w:eastAsia="Times New Roman" w:hAnsi="Calibri" w:cs="Times New Roman"/>
                <w:i/>
                <w:iCs/>
                <w:sz w:val="20"/>
                <w:szCs w:val="20"/>
              </w:rPr>
              <w:t xml:space="preserve"> Allows renewable energy generators to aggregate the energy loads of facilities on adjacent properties, if utility determines that cost shifts to customers </w:t>
            </w:r>
            <w:r w:rsidRPr="00E51E13">
              <w:rPr>
                <w:rFonts w:ascii="Calibri" w:eastAsia="Times New Roman" w:hAnsi="Calibri" w:cs="Times New Roman"/>
                <w:i/>
                <w:iCs/>
                <w:sz w:val="20"/>
                <w:szCs w:val="20"/>
                <w:u w:val="single"/>
              </w:rPr>
              <w:t>would not result</w:t>
            </w:r>
            <w:r w:rsidRPr="00E51E13">
              <w:rPr>
                <w:rFonts w:ascii="Calibri" w:eastAsia="Times New Roman" w:hAnsi="Calibri" w:cs="Times New Roman"/>
                <w:i/>
                <w:iCs/>
                <w:sz w:val="20"/>
                <w:szCs w:val="20"/>
              </w:rPr>
              <w:t xml:space="preserve"> by the generator avoiding payment of their share of transmission, distribution, reliability and other costs. </w:t>
            </w:r>
          </w:p>
        </w:tc>
        <w:tc>
          <w:tcPr>
            <w:tcW w:w="3330" w:type="dxa"/>
            <w:tcBorders>
              <w:top w:val="single" w:sz="4" w:space="0" w:color="auto"/>
              <w:left w:val="nil"/>
              <w:bottom w:val="single" w:sz="4" w:space="0" w:color="auto"/>
              <w:right w:val="single" w:sz="4" w:space="0" w:color="auto"/>
            </w:tcBorders>
            <w:shd w:val="clear" w:color="auto" w:fill="auto"/>
            <w:vAlign w:val="center"/>
          </w:tcPr>
          <w:p w14:paraId="18C79F94" w14:textId="77777777" w:rsidR="000242EE" w:rsidRPr="00EE5BD8" w:rsidRDefault="000242EE" w:rsidP="0067642A">
            <w:pPr>
              <w:spacing w:after="0" w:line="240" w:lineRule="auto"/>
              <w:rPr>
                <w:rFonts w:ascii="Calibri" w:eastAsia="Times New Roman" w:hAnsi="Calibri" w:cs="Times New Roman"/>
                <w:i/>
                <w:iCs/>
                <w:sz w:val="20"/>
                <w:szCs w:val="20"/>
              </w:rPr>
            </w:pPr>
            <w:r w:rsidRPr="00EE5BD8">
              <w:rPr>
                <w:rFonts w:ascii="Calibri" w:eastAsia="Times New Roman" w:hAnsi="Calibri" w:cs="Times New Roman"/>
                <w:i/>
                <w:iCs/>
                <w:sz w:val="20"/>
                <w:szCs w:val="20"/>
              </w:rPr>
              <w:t xml:space="preserve">Annual revenue reductions: $5 million, if certain generators were allowed to avoid costs. </w:t>
            </w:r>
          </w:p>
        </w:tc>
        <w:tc>
          <w:tcPr>
            <w:tcW w:w="1800" w:type="dxa"/>
            <w:tcBorders>
              <w:top w:val="single" w:sz="4" w:space="0" w:color="auto"/>
              <w:left w:val="nil"/>
              <w:bottom w:val="single" w:sz="4" w:space="0" w:color="auto"/>
              <w:right w:val="single" w:sz="4" w:space="0" w:color="auto"/>
            </w:tcBorders>
            <w:shd w:val="clear" w:color="auto" w:fill="auto"/>
            <w:vAlign w:val="center"/>
          </w:tcPr>
          <w:p w14:paraId="3D41A9DD" w14:textId="77777777" w:rsidR="000242EE" w:rsidRPr="00EE5BD8" w:rsidRDefault="000242EE" w:rsidP="0067642A">
            <w:pPr>
              <w:spacing w:after="0" w:line="240" w:lineRule="auto"/>
              <w:jc w:val="center"/>
              <w:rPr>
                <w:rFonts w:ascii="Calibri" w:eastAsia="Times New Roman" w:hAnsi="Calibri" w:cs="Times New Roman"/>
                <w:sz w:val="20"/>
                <w:szCs w:val="20"/>
              </w:rPr>
            </w:pPr>
            <w:r w:rsidRPr="00EE5BD8">
              <w:rPr>
                <w:rFonts w:ascii="Calibri" w:eastAsia="Times New Roman" w:hAnsi="Calibri" w:cs="Times New Roman"/>
                <w:sz w:val="20"/>
                <w:szCs w:val="20"/>
              </w:rPr>
              <w:t>0.5% to 1%  increase, if certain generators were allowed to avoid costs.</w:t>
            </w:r>
          </w:p>
        </w:tc>
        <w:tc>
          <w:tcPr>
            <w:tcW w:w="3240" w:type="dxa"/>
            <w:tcBorders>
              <w:top w:val="single" w:sz="4" w:space="0" w:color="auto"/>
              <w:left w:val="nil"/>
              <w:bottom w:val="single" w:sz="4" w:space="0" w:color="auto"/>
              <w:right w:val="single" w:sz="4" w:space="0" w:color="auto"/>
            </w:tcBorders>
            <w:shd w:val="clear" w:color="auto" w:fill="auto"/>
            <w:vAlign w:val="center"/>
          </w:tcPr>
          <w:p w14:paraId="1B1E4680" w14:textId="77777777" w:rsidR="000242EE" w:rsidRPr="00E51E13" w:rsidRDefault="000242EE" w:rsidP="0067642A">
            <w:pPr>
              <w:spacing w:after="0" w:line="240" w:lineRule="auto"/>
              <w:rPr>
                <w:rFonts w:ascii="Calibri" w:eastAsia="Times New Roman" w:hAnsi="Calibri" w:cs="Times New Roman"/>
                <w:sz w:val="20"/>
                <w:szCs w:val="20"/>
              </w:rPr>
            </w:pPr>
            <w:r w:rsidRPr="00E51E13">
              <w:rPr>
                <w:rFonts w:ascii="Calibri" w:eastAsia="Times New Roman" w:hAnsi="Calibri" w:cs="Times New Roman"/>
                <w:sz w:val="20"/>
                <w:szCs w:val="20"/>
              </w:rPr>
              <w:t>Potential criminal penalties of up to $50,000 per offense under the Public Utilities Act.</w:t>
            </w:r>
          </w:p>
        </w:tc>
      </w:tr>
      <w:tr w:rsidR="000242EE" w:rsidRPr="00E51E13" w14:paraId="744C7674" w14:textId="77777777" w:rsidTr="00ED39D7">
        <w:trPr>
          <w:trHeight w:val="1799"/>
        </w:trPr>
        <w:tc>
          <w:tcPr>
            <w:tcW w:w="450" w:type="dxa"/>
            <w:vMerge/>
            <w:tcBorders>
              <w:left w:val="single" w:sz="4" w:space="0" w:color="auto"/>
              <w:right w:val="single" w:sz="4" w:space="0" w:color="auto"/>
            </w:tcBorders>
            <w:shd w:val="clear" w:color="000000" w:fill="EBF1DE"/>
            <w:textDirection w:val="btLr"/>
            <w:vAlign w:val="center"/>
          </w:tcPr>
          <w:p w14:paraId="2FEB81AC" w14:textId="77777777" w:rsidR="000242EE" w:rsidRPr="00E51E13" w:rsidRDefault="000242EE" w:rsidP="00E51E13">
            <w:pPr>
              <w:spacing w:after="0" w:line="240" w:lineRule="auto"/>
              <w:jc w:val="center"/>
              <w:rPr>
                <w:rFonts w:ascii="Calibri" w:eastAsia="Times New Roman" w:hAnsi="Calibri" w:cs="Times New Roman"/>
                <w:b/>
                <w:bCs/>
                <w:color w:val="000000"/>
              </w:rPr>
            </w:pPr>
          </w:p>
        </w:tc>
        <w:tc>
          <w:tcPr>
            <w:tcW w:w="5652" w:type="dxa"/>
            <w:vMerge w:val="restart"/>
            <w:tcBorders>
              <w:top w:val="single" w:sz="4" w:space="0" w:color="auto"/>
              <w:left w:val="single" w:sz="4" w:space="0" w:color="auto"/>
              <w:right w:val="single" w:sz="4" w:space="0" w:color="auto"/>
            </w:tcBorders>
            <w:shd w:val="clear" w:color="auto" w:fill="auto"/>
            <w:vAlign w:val="center"/>
          </w:tcPr>
          <w:p w14:paraId="78DA5D67" w14:textId="77777777" w:rsidR="000242EE" w:rsidRDefault="000242EE" w:rsidP="0000535C">
            <w:pPr>
              <w:spacing w:after="0" w:line="240" w:lineRule="auto"/>
              <w:rPr>
                <w:rFonts w:ascii="Calibri" w:eastAsia="Times New Roman" w:hAnsi="Calibri" w:cs="Times New Roman"/>
                <w:i/>
                <w:iCs/>
                <w:sz w:val="20"/>
                <w:szCs w:val="20"/>
              </w:rPr>
            </w:pPr>
            <w:r w:rsidRPr="00920E8A">
              <w:rPr>
                <w:rFonts w:ascii="Calibri" w:eastAsia="Times New Roman" w:hAnsi="Calibri" w:cs="Times New Roman"/>
                <w:b/>
                <w:bCs/>
                <w:i/>
                <w:iCs/>
                <w:sz w:val="20"/>
                <w:szCs w:val="20"/>
              </w:rPr>
              <w:t xml:space="preserve">Feed-in Tariff Avoided Costs / SB 1332 (2012): </w:t>
            </w:r>
            <w:r w:rsidRPr="00920E8A">
              <w:rPr>
                <w:rFonts w:ascii="Calibri" w:eastAsia="Times New Roman" w:hAnsi="Calibri" w:cs="Times New Roman"/>
                <w:i/>
                <w:iCs/>
                <w:sz w:val="20"/>
                <w:szCs w:val="20"/>
              </w:rPr>
              <w:t xml:space="preserve"> Requires utilities to take into </w:t>
            </w:r>
            <w:r w:rsidRPr="00920E8A">
              <w:rPr>
                <w:rFonts w:ascii="Calibri" w:eastAsia="Times New Roman" w:hAnsi="Calibri" w:cs="Times New Roman"/>
                <w:i/>
                <w:iCs/>
                <w:sz w:val="20"/>
                <w:szCs w:val="20"/>
                <w:u w:val="single"/>
              </w:rPr>
              <w:t>consideration</w:t>
            </w:r>
            <w:r w:rsidRPr="00920E8A">
              <w:rPr>
                <w:rFonts w:ascii="Calibri" w:eastAsia="Times New Roman" w:hAnsi="Calibri" w:cs="Times New Roman"/>
                <w:i/>
                <w:iCs/>
                <w:sz w:val="20"/>
                <w:szCs w:val="20"/>
              </w:rPr>
              <w:t xml:space="preserve"> the avoided costs (transmission and distribution upgrades) and current and anticipated environmental</w:t>
            </w:r>
            <w:r>
              <w:rPr>
                <w:rFonts w:ascii="Calibri" w:eastAsia="Times New Roman" w:hAnsi="Calibri" w:cs="Times New Roman"/>
                <w:i/>
                <w:iCs/>
                <w:sz w:val="20"/>
                <w:szCs w:val="20"/>
              </w:rPr>
              <w:t xml:space="preserve"> </w:t>
            </w:r>
            <w:r w:rsidRPr="00920E8A">
              <w:rPr>
                <w:rFonts w:ascii="Calibri" w:eastAsia="Times New Roman" w:hAnsi="Calibri" w:cs="Times New Roman"/>
                <w:i/>
                <w:iCs/>
                <w:sz w:val="20"/>
                <w:szCs w:val="20"/>
              </w:rPr>
              <w:t>/</w:t>
            </w:r>
            <w:r>
              <w:rPr>
                <w:rFonts w:ascii="Calibri" w:eastAsia="Times New Roman" w:hAnsi="Calibri" w:cs="Times New Roman"/>
                <w:i/>
                <w:iCs/>
                <w:sz w:val="20"/>
                <w:szCs w:val="20"/>
              </w:rPr>
              <w:t xml:space="preserve"> </w:t>
            </w:r>
            <w:r w:rsidRPr="00920E8A">
              <w:rPr>
                <w:rFonts w:ascii="Calibri" w:eastAsia="Times New Roman" w:hAnsi="Calibri" w:cs="Times New Roman"/>
                <w:i/>
                <w:iCs/>
                <w:sz w:val="20"/>
                <w:szCs w:val="20"/>
              </w:rPr>
              <w:t xml:space="preserve">greenhouse gas compliance costs when developing its feed-in tariff rate. This has been implemented as part of the FIT Program (SB 32 </w:t>
            </w:r>
            <w:r>
              <w:rPr>
                <w:rFonts w:ascii="Calibri" w:eastAsia="Times New Roman" w:hAnsi="Calibri" w:cs="Times New Roman"/>
                <w:i/>
                <w:iCs/>
                <w:sz w:val="20"/>
                <w:szCs w:val="20"/>
              </w:rPr>
              <w:t>below</w:t>
            </w:r>
            <w:r w:rsidRPr="00920E8A">
              <w:rPr>
                <w:rFonts w:ascii="Calibri" w:eastAsia="Times New Roman" w:hAnsi="Calibri" w:cs="Times New Roman"/>
                <w:i/>
                <w:iCs/>
                <w:sz w:val="20"/>
                <w:szCs w:val="20"/>
              </w:rPr>
              <w:t>).</w:t>
            </w:r>
          </w:p>
          <w:p w14:paraId="6C3E21EA" w14:textId="77777777" w:rsidR="000242EE" w:rsidRPr="00920E8A" w:rsidRDefault="000242EE" w:rsidP="0000535C">
            <w:pPr>
              <w:spacing w:after="0" w:line="240" w:lineRule="auto"/>
              <w:rPr>
                <w:rFonts w:ascii="Calibri" w:eastAsia="Times New Roman" w:hAnsi="Calibri" w:cs="Times New Roman"/>
                <w:b/>
                <w:bCs/>
                <w:i/>
                <w:iCs/>
                <w:sz w:val="20"/>
                <w:szCs w:val="20"/>
              </w:rPr>
            </w:pPr>
            <w:r w:rsidRPr="00920E8A">
              <w:rPr>
                <w:rFonts w:ascii="Calibri" w:eastAsia="Times New Roman" w:hAnsi="Calibri" w:cs="Times New Roman"/>
                <w:i/>
                <w:iCs/>
                <w:sz w:val="20"/>
                <w:szCs w:val="20"/>
              </w:rPr>
              <w:t xml:space="preserve"> </w:t>
            </w:r>
            <w:r w:rsidRPr="00920E8A">
              <w:rPr>
                <w:rFonts w:ascii="Calibri" w:eastAsia="Times New Roman" w:hAnsi="Calibri" w:cs="Times New Roman"/>
                <w:b/>
                <w:bCs/>
                <w:i/>
                <w:iCs/>
                <w:sz w:val="20"/>
                <w:szCs w:val="20"/>
              </w:rPr>
              <w:t xml:space="preserve">Distributed Renewable Generation / SB 32 (2009): </w:t>
            </w:r>
            <w:r w:rsidRPr="00920E8A">
              <w:rPr>
                <w:rFonts w:ascii="Calibri" w:eastAsia="Times New Roman" w:hAnsi="Calibri" w:cs="Times New Roman"/>
                <w:i/>
                <w:iCs/>
                <w:sz w:val="20"/>
                <w:szCs w:val="20"/>
              </w:rPr>
              <w:t>Requires utilities to purchase electricity from a retail customer's renewable facility up to 3 megawatts in capacity. This is known as the Feed-in Tariff (FIT) Program.</w:t>
            </w:r>
            <w:r>
              <w:rPr>
                <w:rFonts w:ascii="Calibri" w:eastAsia="Times New Roman" w:hAnsi="Calibri" w:cs="Times New Roman"/>
                <w:i/>
                <w:iCs/>
                <w:sz w:val="20"/>
                <w:szCs w:val="20"/>
              </w:rPr>
              <w:t xml:space="preserve">  </w:t>
            </w:r>
          </w:p>
        </w:tc>
        <w:tc>
          <w:tcPr>
            <w:tcW w:w="3330" w:type="dxa"/>
            <w:vMerge w:val="restart"/>
            <w:tcBorders>
              <w:top w:val="single" w:sz="4" w:space="0" w:color="auto"/>
              <w:left w:val="nil"/>
              <w:right w:val="single" w:sz="4" w:space="0" w:color="auto"/>
            </w:tcBorders>
            <w:shd w:val="clear" w:color="auto" w:fill="auto"/>
            <w:vAlign w:val="center"/>
          </w:tcPr>
          <w:p w14:paraId="26A8049F" w14:textId="77777777" w:rsidR="000242EE" w:rsidRPr="00920E8A" w:rsidRDefault="000242EE" w:rsidP="0067642A">
            <w:pPr>
              <w:spacing w:after="0" w:line="240" w:lineRule="auto"/>
              <w:rPr>
                <w:rFonts w:ascii="Calibri" w:eastAsia="Times New Roman" w:hAnsi="Calibri" w:cs="Times New Roman"/>
                <w:i/>
                <w:iCs/>
                <w:sz w:val="20"/>
                <w:szCs w:val="20"/>
              </w:rPr>
            </w:pPr>
            <w:r w:rsidRPr="00920E8A">
              <w:rPr>
                <w:rFonts w:ascii="Calibri" w:eastAsia="Times New Roman" w:hAnsi="Calibri" w:cs="Times New Roman"/>
                <w:i/>
                <w:iCs/>
                <w:sz w:val="20"/>
                <w:szCs w:val="20"/>
              </w:rPr>
              <w:t xml:space="preserve">Annual costs for monitoring and administration: $100,000. </w:t>
            </w:r>
          </w:p>
          <w:p w14:paraId="16C60FEC" w14:textId="77777777" w:rsidR="000242EE" w:rsidRPr="00B9539A" w:rsidRDefault="000242EE" w:rsidP="0067642A">
            <w:pPr>
              <w:spacing w:after="0" w:line="240" w:lineRule="auto"/>
              <w:rPr>
                <w:rFonts w:ascii="Calibri" w:eastAsia="Times New Roman" w:hAnsi="Calibri" w:cs="Times New Roman"/>
                <w:i/>
                <w:iCs/>
                <w:sz w:val="8"/>
                <w:szCs w:val="8"/>
              </w:rPr>
            </w:pPr>
          </w:p>
          <w:p w14:paraId="475D8123" w14:textId="77777777" w:rsidR="000242EE" w:rsidRPr="00920E8A" w:rsidRDefault="000242EE" w:rsidP="0067642A">
            <w:pPr>
              <w:spacing w:after="0" w:line="240" w:lineRule="auto"/>
              <w:rPr>
                <w:rFonts w:ascii="Calibri" w:eastAsia="Times New Roman" w:hAnsi="Calibri" w:cs="Times New Roman"/>
                <w:i/>
                <w:iCs/>
                <w:sz w:val="20"/>
                <w:szCs w:val="20"/>
              </w:rPr>
            </w:pPr>
            <w:r w:rsidRPr="00920E8A">
              <w:rPr>
                <w:rFonts w:ascii="Calibri" w:eastAsia="Times New Roman" w:hAnsi="Calibri" w:cs="Times New Roman"/>
                <w:i/>
                <w:iCs/>
                <w:sz w:val="20"/>
                <w:szCs w:val="20"/>
              </w:rPr>
              <w:t>Additional costs related to the purchase of renewable energy included in SB 1078 cost estimates above.</w:t>
            </w:r>
          </w:p>
        </w:tc>
        <w:tc>
          <w:tcPr>
            <w:tcW w:w="1800" w:type="dxa"/>
            <w:vMerge w:val="restart"/>
            <w:tcBorders>
              <w:top w:val="single" w:sz="4" w:space="0" w:color="auto"/>
              <w:left w:val="nil"/>
              <w:right w:val="single" w:sz="4" w:space="0" w:color="auto"/>
            </w:tcBorders>
            <w:shd w:val="clear" w:color="auto" w:fill="auto"/>
            <w:vAlign w:val="center"/>
          </w:tcPr>
          <w:p w14:paraId="69300297" w14:textId="77777777" w:rsidR="000242EE" w:rsidRPr="00E51E13" w:rsidRDefault="000242EE" w:rsidP="0067642A">
            <w:pPr>
              <w:spacing w:after="0" w:line="240" w:lineRule="auto"/>
              <w:jc w:val="center"/>
              <w:rPr>
                <w:rFonts w:ascii="Calibri" w:eastAsia="Times New Roman" w:hAnsi="Calibri" w:cs="Times New Roman"/>
                <w:color w:val="000000"/>
                <w:sz w:val="20"/>
                <w:szCs w:val="20"/>
              </w:rPr>
            </w:pPr>
            <w:r w:rsidRPr="00E51E13">
              <w:rPr>
                <w:rFonts w:ascii="Calibri" w:eastAsia="Times New Roman" w:hAnsi="Calibri" w:cs="Times New Roman"/>
                <w:color w:val="000000"/>
                <w:sz w:val="20"/>
                <w:szCs w:val="20"/>
              </w:rPr>
              <w:t>0.03%</w:t>
            </w:r>
            <w:r>
              <w:rPr>
                <w:rFonts w:ascii="Calibri" w:eastAsia="Times New Roman" w:hAnsi="Calibri" w:cs="Times New Roman"/>
                <w:color w:val="000000"/>
                <w:sz w:val="20"/>
                <w:szCs w:val="20"/>
              </w:rPr>
              <w:t xml:space="preserve"> to 0.3%</w:t>
            </w:r>
            <w:r w:rsidRPr="00E51E13">
              <w:rPr>
                <w:rFonts w:ascii="Calibri" w:eastAsia="Times New Roman" w:hAnsi="Calibri" w:cs="Times New Roman"/>
                <w:color w:val="000000"/>
                <w:sz w:val="20"/>
                <w:szCs w:val="20"/>
              </w:rPr>
              <w:t xml:space="preserve"> increase</w:t>
            </w:r>
          </w:p>
        </w:tc>
        <w:tc>
          <w:tcPr>
            <w:tcW w:w="3240" w:type="dxa"/>
            <w:vMerge w:val="restart"/>
            <w:tcBorders>
              <w:top w:val="single" w:sz="4" w:space="0" w:color="auto"/>
              <w:left w:val="nil"/>
              <w:right w:val="single" w:sz="4" w:space="0" w:color="auto"/>
            </w:tcBorders>
            <w:shd w:val="clear" w:color="auto" w:fill="auto"/>
            <w:vAlign w:val="center"/>
          </w:tcPr>
          <w:p w14:paraId="71E043C1" w14:textId="77777777" w:rsidR="000242EE" w:rsidRPr="00E51E13" w:rsidRDefault="000242EE" w:rsidP="0067642A">
            <w:pPr>
              <w:spacing w:after="0" w:line="240" w:lineRule="auto"/>
              <w:rPr>
                <w:rFonts w:ascii="Calibri" w:eastAsia="Times New Roman" w:hAnsi="Calibri" w:cs="Times New Roman"/>
                <w:color w:val="000000"/>
                <w:sz w:val="20"/>
                <w:szCs w:val="20"/>
              </w:rPr>
            </w:pPr>
            <w:r w:rsidRPr="00E51E13">
              <w:rPr>
                <w:rFonts w:ascii="Calibri" w:eastAsia="Times New Roman" w:hAnsi="Calibri" w:cs="Times New Roman"/>
                <w:color w:val="000000"/>
                <w:sz w:val="20"/>
                <w:szCs w:val="20"/>
              </w:rPr>
              <w:t>Financial penalties not specified</w:t>
            </w:r>
            <w:r w:rsidRPr="005F558D">
              <w:rPr>
                <w:rFonts w:ascii="Calibri" w:eastAsia="Times New Roman" w:hAnsi="Calibri" w:cs="Times New Roman"/>
                <w:color w:val="000000"/>
                <w:sz w:val="20"/>
                <w:szCs w:val="20"/>
              </w:rPr>
              <w:t>.</w:t>
            </w:r>
            <w:r>
              <w:rPr>
                <w:rFonts w:ascii="Calibri" w:eastAsia="Times New Roman" w:hAnsi="Calibri" w:cs="Times New Roman"/>
                <w:color w:val="FF0000"/>
                <w:sz w:val="20"/>
                <w:szCs w:val="20"/>
              </w:rPr>
              <w:t xml:space="preserve"> </w:t>
            </w:r>
            <w:r w:rsidRPr="00E51E13">
              <w:rPr>
                <w:rFonts w:ascii="Calibri" w:eastAsia="Times New Roman" w:hAnsi="Calibri" w:cs="Times New Roman"/>
                <w:color w:val="000000"/>
                <w:sz w:val="20"/>
                <w:szCs w:val="20"/>
              </w:rPr>
              <w:t>Potential for civil suit for non-compliance. (Potentially could result in cost to implement and any damages attributed to noncompliance.)</w:t>
            </w:r>
          </w:p>
        </w:tc>
      </w:tr>
      <w:tr w:rsidR="000242EE" w:rsidRPr="00E51E13" w14:paraId="5765009F" w14:textId="77777777" w:rsidTr="00ED39D7">
        <w:trPr>
          <w:trHeight w:val="1511"/>
        </w:trPr>
        <w:tc>
          <w:tcPr>
            <w:tcW w:w="450" w:type="dxa"/>
            <w:vMerge/>
            <w:tcBorders>
              <w:left w:val="single" w:sz="4" w:space="0" w:color="auto"/>
              <w:right w:val="single" w:sz="4" w:space="0" w:color="auto"/>
            </w:tcBorders>
            <w:shd w:val="clear" w:color="000000" w:fill="EBF1DE"/>
            <w:textDirection w:val="btLr"/>
            <w:vAlign w:val="center"/>
            <w:hideMark/>
          </w:tcPr>
          <w:p w14:paraId="346945E3" w14:textId="77777777" w:rsidR="000242EE" w:rsidRPr="00E51E13" w:rsidRDefault="000242EE" w:rsidP="00E51E13">
            <w:pPr>
              <w:spacing w:after="0" w:line="240" w:lineRule="auto"/>
              <w:jc w:val="center"/>
              <w:rPr>
                <w:rFonts w:ascii="Calibri" w:eastAsia="Times New Roman" w:hAnsi="Calibri" w:cs="Times New Roman"/>
                <w:b/>
                <w:bCs/>
                <w:color w:val="000000"/>
              </w:rPr>
            </w:pPr>
          </w:p>
        </w:tc>
        <w:tc>
          <w:tcPr>
            <w:tcW w:w="5652" w:type="dxa"/>
            <w:vMerge/>
            <w:tcBorders>
              <w:left w:val="single" w:sz="4" w:space="0" w:color="auto"/>
              <w:bottom w:val="single" w:sz="4" w:space="0" w:color="auto"/>
              <w:right w:val="single" w:sz="4" w:space="0" w:color="auto"/>
            </w:tcBorders>
            <w:shd w:val="clear" w:color="auto" w:fill="auto"/>
            <w:vAlign w:val="center"/>
            <w:hideMark/>
          </w:tcPr>
          <w:p w14:paraId="45AAF825" w14:textId="77777777" w:rsidR="000242EE" w:rsidRPr="00E51E13" w:rsidRDefault="000242EE" w:rsidP="0067642A">
            <w:pPr>
              <w:spacing w:after="0" w:line="240" w:lineRule="auto"/>
              <w:rPr>
                <w:rFonts w:ascii="Calibri" w:eastAsia="Times New Roman" w:hAnsi="Calibri" w:cs="Times New Roman"/>
                <w:b/>
                <w:bCs/>
                <w:i/>
                <w:iCs/>
                <w:color w:val="000000"/>
                <w:sz w:val="20"/>
                <w:szCs w:val="20"/>
              </w:rPr>
            </w:pPr>
          </w:p>
        </w:tc>
        <w:tc>
          <w:tcPr>
            <w:tcW w:w="3330" w:type="dxa"/>
            <w:vMerge/>
            <w:tcBorders>
              <w:left w:val="nil"/>
              <w:bottom w:val="single" w:sz="4" w:space="0" w:color="auto"/>
              <w:right w:val="single" w:sz="4" w:space="0" w:color="auto"/>
            </w:tcBorders>
            <w:shd w:val="clear" w:color="auto" w:fill="auto"/>
            <w:vAlign w:val="center"/>
            <w:hideMark/>
          </w:tcPr>
          <w:p w14:paraId="4AFE85BF" w14:textId="77777777" w:rsidR="000242EE" w:rsidRPr="00012656" w:rsidRDefault="000242EE" w:rsidP="0067642A">
            <w:pPr>
              <w:spacing w:after="0" w:line="240" w:lineRule="auto"/>
              <w:rPr>
                <w:rFonts w:ascii="Calibri" w:eastAsia="Times New Roman" w:hAnsi="Calibri" w:cs="Times New Roman"/>
                <w:i/>
                <w:iCs/>
                <w:sz w:val="20"/>
                <w:szCs w:val="20"/>
                <w:highlight w:val="yellow"/>
              </w:rPr>
            </w:pPr>
          </w:p>
        </w:tc>
        <w:tc>
          <w:tcPr>
            <w:tcW w:w="1800" w:type="dxa"/>
            <w:vMerge/>
            <w:tcBorders>
              <w:left w:val="nil"/>
              <w:bottom w:val="single" w:sz="4" w:space="0" w:color="auto"/>
              <w:right w:val="single" w:sz="4" w:space="0" w:color="auto"/>
            </w:tcBorders>
            <w:shd w:val="clear" w:color="auto" w:fill="auto"/>
            <w:vAlign w:val="center"/>
            <w:hideMark/>
          </w:tcPr>
          <w:p w14:paraId="215DD637" w14:textId="77777777" w:rsidR="000242EE" w:rsidRPr="00012656" w:rsidRDefault="000242EE" w:rsidP="0067642A">
            <w:pPr>
              <w:spacing w:after="0" w:line="240" w:lineRule="auto"/>
              <w:jc w:val="center"/>
              <w:rPr>
                <w:rFonts w:ascii="Calibri" w:eastAsia="Times New Roman" w:hAnsi="Calibri" w:cs="Times New Roman"/>
                <w:sz w:val="20"/>
                <w:szCs w:val="20"/>
                <w:highlight w:val="yellow"/>
              </w:rPr>
            </w:pPr>
          </w:p>
        </w:tc>
        <w:tc>
          <w:tcPr>
            <w:tcW w:w="3240" w:type="dxa"/>
            <w:vMerge/>
            <w:tcBorders>
              <w:left w:val="nil"/>
              <w:bottom w:val="single" w:sz="4" w:space="0" w:color="auto"/>
              <w:right w:val="single" w:sz="4" w:space="0" w:color="auto"/>
            </w:tcBorders>
            <w:shd w:val="clear" w:color="auto" w:fill="auto"/>
            <w:vAlign w:val="center"/>
            <w:hideMark/>
          </w:tcPr>
          <w:p w14:paraId="27EFD00D" w14:textId="77777777" w:rsidR="000242EE" w:rsidRPr="00012656" w:rsidRDefault="000242EE" w:rsidP="0067642A">
            <w:pPr>
              <w:spacing w:after="0" w:line="240" w:lineRule="auto"/>
              <w:rPr>
                <w:rFonts w:ascii="Calibri" w:eastAsia="Times New Roman" w:hAnsi="Calibri" w:cs="Times New Roman"/>
                <w:sz w:val="20"/>
                <w:szCs w:val="20"/>
                <w:highlight w:val="yellow"/>
              </w:rPr>
            </w:pPr>
          </w:p>
        </w:tc>
      </w:tr>
      <w:tr w:rsidR="000242EE" w:rsidRPr="00E51E13" w14:paraId="0A9FBFBE" w14:textId="77777777" w:rsidTr="00ED39D7">
        <w:trPr>
          <w:trHeight w:val="1700"/>
        </w:trPr>
        <w:tc>
          <w:tcPr>
            <w:tcW w:w="450" w:type="dxa"/>
            <w:vMerge/>
            <w:tcBorders>
              <w:left w:val="single" w:sz="4" w:space="0" w:color="auto"/>
              <w:right w:val="single" w:sz="4" w:space="0" w:color="auto"/>
            </w:tcBorders>
            <w:vAlign w:val="center"/>
            <w:hideMark/>
          </w:tcPr>
          <w:p w14:paraId="58D5BDDC" w14:textId="77777777" w:rsidR="000242EE" w:rsidRPr="00E51E13" w:rsidRDefault="000242EE" w:rsidP="00E51E13">
            <w:pPr>
              <w:spacing w:after="0" w:line="240" w:lineRule="auto"/>
              <w:rPr>
                <w:rFonts w:ascii="Calibri" w:eastAsia="Times New Roman" w:hAnsi="Calibri" w:cs="Times New Roman"/>
                <w:b/>
                <w:bCs/>
                <w:color w:val="000000"/>
              </w:rPr>
            </w:pPr>
          </w:p>
        </w:tc>
        <w:tc>
          <w:tcPr>
            <w:tcW w:w="56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E1828E" w14:textId="77777777" w:rsidR="000242EE" w:rsidRPr="00920E8A" w:rsidRDefault="000242EE" w:rsidP="00E51E13">
            <w:pPr>
              <w:spacing w:after="0" w:line="240" w:lineRule="auto"/>
              <w:rPr>
                <w:rFonts w:ascii="Calibri" w:eastAsia="Times New Roman" w:hAnsi="Calibri" w:cs="Times New Roman"/>
                <w:b/>
                <w:bCs/>
                <w:i/>
                <w:iCs/>
                <w:sz w:val="20"/>
                <w:szCs w:val="20"/>
              </w:rPr>
            </w:pPr>
            <w:r w:rsidRPr="00920E8A">
              <w:rPr>
                <w:rFonts w:ascii="Calibri" w:eastAsia="Times New Roman" w:hAnsi="Calibri" w:cs="Times New Roman"/>
                <w:b/>
                <w:bCs/>
                <w:i/>
                <w:iCs/>
                <w:sz w:val="20"/>
                <w:szCs w:val="20"/>
              </w:rPr>
              <w:t>Increased Net Metering / AB 510 (2010):</w:t>
            </w:r>
            <w:r w:rsidRPr="00920E8A">
              <w:rPr>
                <w:rFonts w:ascii="Calibri" w:eastAsia="Times New Roman" w:hAnsi="Calibri" w:cs="Times New Roman"/>
                <w:i/>
                <w:iCs/>
                <w:sz w:val="20"/>
                <w:szCs w:val="20"/>
              </w:rPr>
              <w:t xml:space="preserve"> Requires utilities to increase amount of allowable net metering from solar and wind projects from 2.5% to 5% of a utility's aggregate peak demand. Net metering projects reduce utility sales to customers.</w:t>
            </w:r>
          </w:p>
        </w:tc>
        <w:tc>
          <w:tcPr>
            <w:tcW w:w="3330" w:type="dxa"/>
            <w:tcBorders>
              <w:top w:val="single" w:sz="4" w:space="0" w:color="auto"/>
              <w:left w:val="nil"/>
              <w:bottom w:val="single" w:sz="4" w:space="0" w:color="auto"/>
              <w:right w:val="single" w:sz="4" w:space="0" w:color="auto"/>
            </w:tcBorders>
            <w:shd w:val="clear" w:color="auto" w:fill="auto"/>
            <w:vAlign w:val="center"/>
            <w:hideMark/>
          </w:tcPr>
          <w:p w14:paraId="585A4F10" w14:textId="77777777" w:rsidR="000242EE" w:rsidRPr="00920E8A" w:rsidRDefault="000242EE" w:rsidP="00E51E13">
            <w:pPr>
              <w:spacing w:after="0" w:line="240" w:lineRule="auto"/>
              <w:rPr>
                <w:rFonts w:ascii="Calibri" w:eastAsia="Times New Roman" w:hAnsi="Calibri" w:cs="Times New Roman"/>
                <w:i/>
                <w:iCs/>
                <w:sz w:val="20"/>
                <w:szCs w:val="20"/>
              </w:rPr>
            </w:pPr>
            <w:r w:rsidRPr="00920E8A">
              <w:rPr>
                <w:rFonts w:ascii="Calibri" w:eastAsia="Times New Roman" w:hAnsi="Calibri" w:cs="Times New Roman"/>
                <w:i/>
                <w:iCs/>
                <w:sz w:val="20"/>
                <w:szCs w:val="20"/>
              </w:rPr>
              <w:t>Annual cost associated with potential loss of sales revenue: $2.5 million.</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14:paraId="1B97EB9C" w14:textId="45E53D22" w:rsidR="000242EE" w:rsidRPr="00E51E13" w:rsidRDefault="000242EE" w:rsidP="00E51E13">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Minor</w:t>
            </w:r>
            <w:r w:rsidRPr="00E51E13">
              <w:rPr>
                <w:rFonts w:ascii="Calibri" w:eastAsia="Times New Roman" w:hAnsi="Calibri" w:cs="Times New Roman"/>
                <w:sz w:val="20"/>
                <w:szCs w:val="20"/>
              </w:rPr>
              <w:t xml:space="preserve"> increase</w:t>
            </w:r>
          </w:p>
        </w:tc>
        <w:tc>
          <w:tcPr>
            <w:tcW w:w="3240" w:type="dxa"/>
            <w:tcBorders>
              <w:top w:val="single" w:sz="4" w:space="0" w:color="auto"/>
              <w:left w:val="nil"/>
              <w:bottom w:val="single" w:sz="4" w:space="0" w:color="auto"/>
              <w:right w:val="single" w:sz="4" w:space="0" w:color="auto"/>
            </w:tcBorders>
            <w:shd w:val="clear" w:color="auto" w:fill="auto"/>
            <w:vAlign w:val="center"/>
            <w:hideMark/>
          </w:tcPr>
          <w:p w14:paraId="2E368E7F" w14:textId="77777777" w:rsidR="000242EE" w:rsidRPr="00E51E13" w:rsidRDefault="000242EE" w:rsidP="00E51E13">
            <w:pPr>
              <w:spacing w:after="0" w:line="240" w:lineRule="auto"/>
              <w:rPr>
                <w:rFonts w:ascii="Calibri" w:eastAsia="Times New Roman" w:hAnsi="Calibri" w:cs="Times New Roman"/>
                <w:color w:val="000000"/>
                <w:sz w:val="20"/>
                <w:szCs w:val="20"/>
              </w:rPr>
            </w:pPr>
            <w:r w:rsidRPr="00E51E13">
              <w:rPr>
                <w:rFonts w:ascii="Calibri" w:eastAsia="Times New Roman" w:hAnsi="Calibri" w:cs="Times New Roman"/>
                <w:color w:val="000000"/>
                <w:sz w:val="20"/>
                <w:szCs w:val="20"/>
              </w:rPr>
              <w:t>Financial penalties not specified. Potential for civil suit for non-compliance. (Potentially could result in cost to implement and any damages attributed to noncompliance.)</w:t>
            </w:r>
          </w:p>
        </w:tc>
      </w:tr>
      <w:tr w:rsidR="000242EE" w:rsidRPr="00E51E13" w14:paraId="72508C75" w14:textId="77777777" w:rsidTr="00ED39D7">
        <w:trPr>
          <w:trHeight w:val="1520"/>
        </w:trPr>
        <w:tc>
          <w:tcPr>
            <w:tcW w:w="450" w:type="dxa"/>
            <w:vMerge/>
            <w:tcBorders>
              <w:left w:val="single" w:sz="4" w:space="0" w:color="auto"/>
              <w:bottom w:val="single" w:sz="4" w:space="0" w:color="auto"/>
              <w:right w:val="single" w:sz="4" w:space="0" w:color="auto"/>
            </w:tcBorders>
            <w:vAlign w:val="center"/>
          </w:tcPr>
          <w:p w14:paraId="78B57440" w14:textId="77777777" w:rsidR="000242EE" w:rsidRPr="00E51E13" w:rsidRDefault="000242EE" w:rsidP="007526D6">
            <w:pPr>
              <w:spacing w:after="0" w:line="240" w:lineRule="auto"/>
              <w:rPr>
                <w:rFonts w:ascii="Calibri" w:eastAsia="Times New Roman" w:hAnsi="Calibri" w:cs="Times New Roman"/>
                <w:b/>
                <w:bCs/>
                <w:color w:val="000000"/>
              </w:rPr>
            </w:pPr>
          </w:p>
        </w:tc>
        <w:tc>
          <w:tcPr>
            <w:tcW w:w="5652" w:type="dxa"/>
            <w:tcBorders>
              <w:top w:val="single" w:sz="4" w:space="0" w:color="auto"/>
              <w:left w:val="single" w:sz="4" w:space="0" w:color="auto"/>
              <w:bottom w:val="single" w:sz="4" w:space="0" w:color="auto"/>
              <w:right w:val="single" w:sz="4" w:space="0" w:color="auto"/>
            </w:tcBorders>
            <w:shd w:val="clear" w:color="auto" w:fill="auto"/>
            <w:vAlign w:val="center"/>
          </w:tcPr>
          <w:p w14:paraId="6439BEE6" w14:textId="5D98FB62" w:rsidR="000242EE" w:rsidRPr="00BF2498" w:rsidRDefault="000242EE" w:rsidP="007526D6">
            <w:pPr>
              <w:spacing w:after="0" w:line="240" w:lineRule="auto"/>
              <w:rPr>
                <w:rFonts w:ascii="Calibri" w:eastAsia="Times New Roman" w:hAnsi="Calibri" w:cs="Times New Roman"/>
                <w:b/>
                <w:bCs/>
                <w:i/>
                <w:iCs/>
                <w:sz w:val="20"/>
                <w:szCs w:val="20"/>
              </w:rPr>
            </w:pPr>
            <w:r w:rsidRPr="00BF2498">
              <w:rPr>
                <w:rFonts w:ascii="Calibri" w:eastAsia="Times New Roman" w:hAnsi="Calibri" w:cs="Times New Roman"/>
                <w:b/>
                <w:bCs/>
                <w:i/>
                <w:iCs/>
                <w:sz w:val="20"/>
                <w:szCs w:val="20"/>
              </w:rPr>
              <w:t xml:space="preserve">Solar Incentives &amp; Net Metering / SB 1 (2006): </w:t>
            </w:r>
            <w:r w:rsidRPr="00BF2498">
              <w:rPr>
                <w:rFonts w:ascii="Calibri" w:eastAsia="Times New Roman" w:hAnsi="Calibri" w:cs="Times New Roman"/>
                <w:i/>
                <w:iCs/>
                <w:sz w:val="20"/>
                <w:szCs w:val="20"/>
              </w:rPr>
              <w:t>Adoption of a Solar Incentive Program offering a minimum incentive of $2.80 watt beginning in 01/01/08 and declining by 7% each year thereafter to offset the cost of solar generation projects.</w:t>
            </w:r>
          </w:p>
        </w:tc>
        <w:tc>
          <w:tcPr>
            <w:tcW w:w="3330" w:type="dxa"/>
            <w:tcBorders>
              <w:top w:val="single" w:sz="4" w:space="0" w:color="auto"/>
              <w:left w:val="nil"/>
              <w:bottom w:val="single" w:sz="4" w:space="0" w:color="auto"/>
              <w:right w:val="single" w:sz="4" w:space="0" w:color="auto"/>
            </w:tcBorders>
            <w:shd w:val="clear" w:color="auto" w:fill="auto"/>
            <w:vAlign w:val="center"/>
          </w:tcPr>
          <w:p w14:paraId="165D5CF1" w14:textId="013B974E" w:rsidR="000242EE" w:rsidRPr="00BF2498" w:rsidRDefault="000242EE" w:rsidP="007526D6">
            <w:pPr>
              <w:spacing w:after="0" w:line="240" w:lineRule="auto"/>
              <w:rPr>
                <w:rFonts w:ascii="Calibri" w:eastAsia="Times New Roman" w:hAnsi="Calibri" w:cs="Times New Roman"/>
                <w:i/>
                <w:iCs/>
                <w:sz w:val="20"/>
                <w:szCs w:val="20"/>
              </w:rPr>
            </w:pPr>
            <w:r w:rsidRPr="00BF2498">
              <w:rPr>
                <w:rFonts w:ascii="Calibri" w:eastAsia="Times New Roman" w:hAnsi="Calibri" w:cs="Times New Roman"/>
                <w:i/>
                <w:iCs/>
                <w:sz w:val="20"/>
                <w:szCs w:val="20"/>
              </w:rPr>
              <w:t>Required to spend a total of $35 million in incentives through the year 2016, equates to approximately $3.8 million annually.</w:t>
            </w:r>
          </w:p>
        </w:tc>
        <w:tc>
          <w:tcPr>
            <w:tcW w:w="1800" w:type="dxa"/>
            <w:tcBorders>
              <w:top w:val="single" w:sz="4" w:space="0" w:color="auto"/>
              <w:left w:val="nil"/>
              <w:bottom w:val="single" w:sz="4" w:space="0" w:color="auto"/>
              <w:right w:val="single" w:sz="4" w:space="0" w:color="auto"/>
            </w:tcBorders>
            <w:shd w:val="clear" w:color="auto" w:fill="auto"/>
            <w:vAlign w:val="center"/>
          </w:tcPr>
          <w:p w14:paraId="16C345CC" w14:textId="66282E1A" w:rsidR="000242EE" w:rsidRPr="00BF2498" w:rsidRDefault="000242EE" w:rsidP="007526D6">
            <w:pPr>
              <w:spacing w:after="0" w:line="240" w:lineRule="auto"/>
              <w:jc w:val="center"/>
              <w:rPr>
                <w:rFonts w:ascii="Calibri" w:eastAsia="Times New Roman" w:hAnsi="Calibri" w:cs="Times New Roman"/>
                <w:sz w:val="20"/>
                <w:szCs w:val="20"/>
              </w:rPr>
            </w:pPr>
            <w:r w:rsidRPr="00BF2498">
              <w:rPr>
                <w:rFonts w:ascii="Calibri" w:eastAsia="Times New Roman" w:hAnsi="Calibri" w:cs="Times New Roman"/>
                <w:color w:val="000000"/>
                <w:sz w:val="20"/>
                <w:szCs w:val="20"/>
              </w:rPr>
              <w:t>1% to 1.5% increase</w:t>
            </w:r>
          </w:p>
        </w:tc>
        <w:tc>
          <w:tcPr>
            <w:tcW w:w="3240" w:type="dxa"/>
            <w:tcBorders>
              <w:top w:val="single" w:sz="4" w:space="0" w:color="auto"/>
              <w:left w:val="nil"/>
              <w:bottom w:val="single" w:sz="4" w:space="0" w:color="auto"/>
              <w:right w:val="single" w:sz="4" w:space="0" w:color="auto"/>
            </w:tcBorders>
            <w:shd w:val="clear" w:color="auto" w:fill="auto"/>
            <w:vAlign w:val="center"/>
          </w:tcPr>
          <w:p w14:paraId="5C595815" w14:textId="2E7D8014" w:rsidR="000242EE" w:rsidRPr="00BF2498" w:rsidRDefault="000242EE" w:rsidP="007526D6">
            <w:pPr>
              <w:spacing w:after="0" w:line="240" w:lineRule="auto"/>
              <w:rPr>
                <w:rFonts w:ascii="Calibri" w:eastAsia="Times New Roman" w:hAnsi="Calibri" w:cs="Times New Roman"/>
                <w:color w:val="000000"/>
                <w:sz w:val="20"/>
                <w:szCs w:val="20"/>
              </w:rPr>
            </w:pPr>
            <w:r w:rsidRPr="00BF2498">
              <w:rPr>
                <w:rFonts w:ascii="Calibri" w:eastAsia="Times New Roman" w:hAnsi="Calibri" w:cs="Times New Roman"/>
                <w:color w:val="000000"/>
                <w:sz w:val="20"/>
                <w:szCs w:val="20"/>
              </w:rPr>
              <w:t>Financial penalties not specified. Potential for civil suit for non-compliance. (Potentially could result in cost to implement and any damages attributed to noncompliance.)</w:t>
            </w:r>
          </w:p>
        </w:tc>
      </w:tr>
    </w:tbl>
    <w:p w14:paraId="0F566B70" w14:textId="77777777" w:rsidR="00ED39D7" w:rsidRDefault="00ED39D7">
      <w:r>
        <w:br w:type="page"/>
      </w:r>
    </w:p>
    <w:tbl>
      <w:tblPr>
        <w:tblW w:w="23694" w:type="dxa"/>
        <w:tblInd w:w="-162" w:type="dxa"/>
        <w:tblLayout w:type="fixed"/>
        <w:tblLook w:val="04A0" w:firstRow="1" w:lastRow="0" w:firstColumn="1" w:lastColumn="0" w:noHBand="0" w:noVBand="1"/>
      </w:tblPr>
      <w:tblGrid>
        <w:gridCol w:w="450"/>
        <w:gridCol w:w="5652"/>
        <w:gridCol w:w="3420"/>
        <w:gridCol w:w="1620"/>
        <w:gridCol w:w="3330"/>
        <w:gridCol w:w="438"/>
        <w:gridCol w:w="2196"/>
        <w:gridCol w:w="2196"/>
        <w:gridCol w:w="2196"/>
        <w:gridCol w:w="2196"/>
      </w:tblGrid>
      <w:tr w:rsidR="000242EE" w:rsidRPr="00E51E13" w14:paraId="2CBC488F" w14:textId="77777777" w:rsidTr="00ED39D7">
        <w:trPr>
          <w:gridAfter w:val="5"/>
          <w:wAfter w:w="9222" w:type="dxa"/>
          <w:trHeight w:val="647"/>
        </w:trPr>
        <w:tc>
          <w:tcPr>
            <w:tcW w:w="6102" w:type="dxa"/>
            <w:gridSpan w:val="2"/>
            <w:tcBorders>
              <w:right w:val="single" w:sz="4" w:space="0" w:color="auto"/>
            </w:tcBorders>
            <w:shd w:val="clear" w:color="auto" w:fill="auto"/>
            <w:vAlign w:val="bottom"/>
          </w:tcPr>
          <w:p w14:paraId="032AD884" w14:textId="7D7F1505" w:rsidR="000242EE" w:rsidRPr="00E51E13" w:rsidRDefault="00ED39D7" w:rsidP="0067642A">
            <w:pPr>
              <w:spacing w:after="0" w:line="240" w:lineRule="auto"/>
              <w:rPr>
                <w:rFonts w:ascii="Calibri" w:eastAsia="Times New Roman" w:hAnsi="Calibri" w:cs="Times New Roman"/>
                <w:b/>
                <w:bCs/>
                <w:color w:val="000000"/>
                <w:sz w:val="18"/>
                <w:szCs w:val="18"/>
              </w:rPr>
            </w:pPr>
            <w:r>
              <w:lastRenderedPageBreak/>
              <w:t xml:space="preserve"> </w:t>
            </w:r>
            <w:r w:rsidR="0000535C">
              <w:br w:type="page"/>
            </w:r>
            <w:r w:rsidR="000242EE">
              <w:br w:type="page"/>
            </w:r>
          </w:p>
          <w:p w14:paraId="1DC0E63E" w14:textId="77777777" w:rsidR="000242EE" w:rsidRPr="00E51E13" w:rsidRDefault="000242EE" w:rsidP="0067642A">
            <w:pPr>
              <w:spacing w:after="0" w:line="240" w:lineRule="auto"/>
              <w:jc w:val="center"/>
              <w:rPr>
                <w:rFonts w:ascii="Calibri" w:eastAsia="Times New Roman" w:hAnsi="Calibri" w:cs="Times New Roman"/>
                <w:b/>
                <w:bCs/>
                <w:color w:val="000000"/>
                <w:sz w:val="18"/>
                <w:szCs w:val="18"/>
              </w:rPr>
            </w:pPr>
            <w:r w:rsidRPr="00E51E13">
              <w:rPr>
                <w:rFonts w:ascii="Calibri" w:eastAsia="Times New Roman" w:hAnsi="Calibri" w:cs="Times New Roman"/>
                <w:b/>
                <w:bCs/>
                <w:color w:val="000000"/>
                <w:sz w:val="18"/>
                <w:szCs w:val="18"/>
              </w:rPr>
              <w:t xml:space="preserve"> </w:t>
            </w:r>
          </w:p>
        </w:tc>
        <w:tc>
          <w:tcPr>
            <w:tcW w:w="3420"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0C4DAB66" w14:textId="77777777" w:rsidR="000242EE" w:rsidRPr="00E51E13" w:rsidRDefault="000242EE" w:rsidP="0067642A">
            <w:pPr>
              <w:spacing w:after="0" w:line="240" w:lineRule="auto"/>
              <w:jc w:val="center"/>
              <w:rPr>
                <w:rFonts w:ascii="Calibri" w:eastAsia="Times New Roman" w:hAnsi="Calibri" w:cs="Times New Roman"/>
                <w:b/>
                <w:bCs/>
                <w:color w:val="000000"/>
              </w:rPr>
            </w:pPr>
            <w:r w:rsidRPr="00E51E13">
              <w:rPr>
                <w:rFonts w:ascii="Calibri" w:eastAsia="Times New Roman" w:hAnsi="Calibri" w:cs="Times New Roman"/>
                <w:b/>
                <w:bCs/>
                <w:color w:val="000000"/>
              </w:rPr>
              <w:t>Estimated Cost of Implementation</w:t>
            </w:r>
          </w:p>
        </w:tc>
        <w:tc>
          <w:tcPr>
            <w:tcW w:w="1620" w:type="dxa"/>
            <w:tcBorders>
              <w:top w:val="single" w:sz="4" w:space="0" w:color="auto"/>
              <w:left w:val="nil"/>
              <w:bottom w:val="single" w:sz="4" w:space="0" w:color="auto"/>
              <w:right w:val="single" w:sz="4" w:space="0" w:color="auto"/>
            </w:tcBorders>
            <w:shd w:val="clear" w:color="auto" w:fill="E5DFEC" w:themeFill="accent4" w:themeFillTint="33"/>
            <w:vAlign w:val="center"/>
          </w:tcPr>
          <w:p w14:paraId="1AB52E7D" w14:textId="77777777" w:rsidR="000242EE" w:rsidRPr="00E51E13" w:rsidRDefault="000242EE" w:rsidP="0067642A">
            <w:pPr>
              <w:spacing w:after="0" w:line="240" w:lineRule="auto"/>
              <w:jc w:val="center"/>
              <w:rPr>
                <w:rFonts w:ascii="Calibri" w:eastAsia="Times New Roman" w:hAnsi="Calibri" w:cs="Times New Roman"/>
                <w:b/>
                <w:bCs/>
                <w:color w:val="000000"/>
              </w:rPr>
            </w:pPr>
            <w:r w:rsidRPr="00E51E13">
              <w:rPr>
                <w:rFonts w:ascii="Calibri" w:eastAsia="Times New Roman" w:hAnsi="Calibri" w:cs="Times New Roman"/>
                <w:b/>
                <w:bCs/>
                <w:color w:val="000000"/>
              </w:rPr>
              <w:t>Estimated Rate Impact</w:t>
            </w:r>
          </w:p>
        </w:tc>
        <w:tc>
          <w:tcPr>
            <w:tcW w:w="3330" w:type="dxa"/>
            <w:tcBorders>
              <w:top w:val="single" w:sz="4" w:space="0" w:color="auto"/>
              <w:left w:val="nil"/>
              <w:bottom w:val="single" w:sz="4" w:space="0" w:color="auto"/>
              <w:right w:val="single" w:sz="4" w:space="0" w:color="auto"/>
            </w:tcBorders>
            <w:shd w:val="clear" w:color="auto" w:fill="DAEEF3" w:themeFill="accent5" w:themeFillTint="33"/>
            <w:vAlign w:val="center"/>
          </w:tcPr>
          <w:p w14:paraId="33C5415C" w14:textId="77777777" w:rsidR="000242EE" w:rsidRPr="00E51E13" w:rsidRDefault="000242EE" w:rsidP="0067642A">
            <w:pPr>
              <w:spacing w:after="0" w:line="240" w:lineRule="auto"/>
              <w:jc w:val="center"/>
              <w:rPr>
                <w:rFonts w:ascii="Calibri" w:eastAsia="Times New Roman" w:hAnsi="Calibri" w:cs="Times New Roman"/>
                <w:b/>
                <w:bCs/>
                <w:color w:val="000000"/>
              </w:rPr>
            </w:pPr>
            <w:r w:rsidRPr="00E51E13">
              <w:rPr>
                <w:rFonts w:ascii="Calibri" w:eastAsia="Times New Roman" w:hAnsi="Calibri" w:cs="Times New Roman"/>
                <w:b/>
                <w:bCs/>
                <w:color w:val="000000"/>
              </w:rPr>
              <w:t xml:space="preserve">Penalties / Other  Potential                                  </w:t>
            </w:r>
            <w:r w:rsidRPr="007856D6">
              <w:rPr>
                <w:rFonts w:ascii="Calibri" w:eastAsia="Times New Roman" w:hAnsi="Calibri" w:cs="Times New Roman"/>
                <w:b/>
                <w:bCs/>
                <w:color w:val="000000"/>
                <w:shd w:val="clear" w:color="auto" w:fill="DAEEF3" w:themeFill="accent5" w:themeFillTint="33"/>
              </w:rPr>
              <w:t>C</w:t>
            </w:r>
            <w:r w:rsidRPr="00E51E13">
              <w:rPr>
                <w:rFonts w:ascii="Calibri" w:eastAsia="Times New Roman" w:hAnsi="Calibri" w:cs="Times New Roman"/>
                <w:b/>
                <w:bCs/>
                <w:color w:val="000000"/>
              </w:rPr>
              <w:t>ost Impacts</w:t>
            </w:r>
          </w:p>
        </w:tc>
      </w:tr>
      <w:tr w:rsidR="00ED39D7" w:rsidRPr="00E51E13" w14:paraId="30FF6BCD" w14:textId="77777777" w:rsidTr="00A42A27">
        <w:trPr>
          <w:gridAfter w:val="5"/>
          <w:wAfter w:w="9222" w:type="dxa"/>
          <w:trHeight w:val="2933"/>
        </w:trPr>
        <w:tc>
          <w:tcPr>
            <w:tcW w:w="450" w:type="dxa"/>
            <w:vMerge w:val="restart"/>
            <w:tcBorders>
              <w:top w:val="single" w:sz="4" w:space="0" w:color="auto"/>
              <w:left w:val="single" w:sz="4" w:space="0" w:color="auto"/>
              <w:right w:val="single" w:sz="4" w:space="0" w:color="auto"/>
            </w:tcBorders>
            <w:shd w:val="clear" w:color="auto" w:fill="C6D9F1" w:themeFill="text2" w:themeFillTint="33"/>
            <w:textDirection w:val="btLr"/>
          </w:tcPr>
          <w:p w14:paraId="2370BC7E" w14:textId="77777777" w:rsidR="00ED39D7" w:rsidRDefault="00ED39D7" w:rsidP="00C32AE8">
            <w:pPr>
              <w:spacing w:after="0" w:line="240" w:lineRule="auto"/>
              <w:ind w:left="113" w:right="113"/>
              <w:jc w:val="center"/>
              <w:rPr>
                <w:rFonts w:ascii="Calibri" w:eastAsia="Times New Roman" w:hAnsi="Calibri" w:cs="Times New Roman"/>
                <w:b/>
                <w:bCs/>
                <w:color w:val="000000"/>
              </w:rPr>
            </w:pPr>
            <w:r>
              <w:rPr>
                <w:rFonts w:ascii="Calibri" w:eastAsia="Times New Roman" w:hAnsi="Calibri" w:cs="Times New Roman"/>
                <w:b/>
                <w:bCs/>
                <w:color w:val="000000"/>
              </w:rPr>
              <w:t xml:space="preserve"> Reliability</w:t>
            </w:r>
          </w:p>
          <w:p w14:paraId="5DAD29A5" w14:textId="36FBF93A" w:rsidR="00ED39D7" w:rsidRDefault="00ED39D7" w:rsidP="00F4613D">
            <w:pPr>
              <w:spacing w:after="0" w:line="240" w:lineRule="auto"/>
              <w:ind w:left="113" w:right="113"/>
              <w:jc w:val="center"/>
              <w:rPr>
                <w:rFonts w:ascii="Calibri" w:eastAsia="Times New Roman" w:hAnsi="Calibri" w:cs="Times New Roman"/>
                <w:b/>
                <w:bCs/>
                <w:color w:val="000000"/>
              </w:rPr>
            </w:pPr>
            <w:r>
              <w:br w:type="page"/>
            </w:r>
          </w:p>
        </w:tc>
        <w:tc>
          <w:tcPr>
            <w:tcW w:w="5652" w:type="dxa"/>
            <w:tcBorders>
              <w:top w:val="single" w:sz="4" w:space="0" w:color="auto"/>
              <w:left w:val="single" w:sz="4" w:space="0" w:color="auto"/>
              <w:bottom w:val="single" w:sz="4" w:space="0" w:color="auto"/>
              <w:right w:val="single" w:sz="4" w:space="0" w:color="auto"/>
            </w:tcBorders>
            <w:shd w:val="clear" w:color="auto" w:fill="auto"/>
            <w:vAlign w:val="center"/>
          </w:tcPr>
          <w:p w14:paraId="3B207F5A" w14:textId="40701827" w:rsidR="00ED39D7" w:rsidRPr="00AF1656" w:rsidRDefault="00ED39D7" w:rsidP="004C29DE">
            <w:pPr>
              <w:spacing w:after="0" w:line="240" w:lineRule="auto"/>
              <w:rPr>
                <w:rFonts w:eastAsia="Times New Roman" w:cstheme="minorHAnsi"/>
                <w:b/>
                <w:bCs/>
                <w:i/>
                <w:iCs/>
                <w:sz w:val="20"/>
                <w:szCs w:val="20"/>
              </w:rPr>
            </w:pPr>
            <w:r w:rsidRPr="00AF1656">
              <w:rPr>
                <w:rFonts w:eastAsia="Times New Roman" w:cstheme="minorHAnsi"/>
                <w:b/>
                <w:bCs/>
                <w:i/>
                <w:iCs/>
                <w:sz w:val="20"/>
                <w:szCs w:val="20"/>
              </w:rPr>
              <w:t>Central Procurement and Planning Reserve Margin / AB 1373 (2023)</w:t>
            </w:r>
          </w:p>
          <w:p w14:paraId="57237DE0" w14:textId="234926EF" w:rsidR="00ED39D7" w:rsidRPr="00647AE6" w:rsidRDefault="00ED39D7" w:rsidP="00A14565">
            <w:pPr>
              <w:spacing w:after="0" w:line="240" w:lineRule="auto"/>
              <w:ind w:right="530"/>
              <w:rPr>
                <w:rFonts w:ascii="Calibri" w:eastAsia="Times New Roman" w:hAnsi="Calibri" w:cs="Times New Roman"/>
                <w:b/>
                <w:bCs/>
                <w:i/>
                <w:iCs/>
                <w:sz w:val="20"/>
                <w:szCs w:val="20"/>
              </w:rPr>
            </w:pPr>
            <w:r w:rsidRPr="00AF1656">
              <w:rPr>
                <w:rFonts w:cstheme="minorHAnsi"/>
                <w:i/>
                <w:iCs/>
                <w:sz w:val="18"/>
                <w:szCs w:val="18"/>
              </w:rPr>
              <w:t xml:space="preserve">Requires the Energy Commission to annually assess capacity payments on POUs under specific circumstances in which they do not meet their Planning Reserve Margin (PRM). The bill will sunset June 30, 2027.  Also authorizes the Department of Water Resources to undertake central procurement of diverse clean energy resources through 2035 if directed by the CPUC. Participation will be </w:t>
            </w:r>
            <w:r w:rsidRPr="00AF1656">
              <w:rPr>
                <w:rFonts w:cstheme="minorHAnsi"/>
                <w:i/>
                <w:iCs/>
                <w:sz w:val="18"/>
                <w:szCs w:val="18"/>
                <w:u w:val="single"/>
              </w:rPr>
              <w:t>voluntary</w:t>
            </w:r>
            <w:r w:rsidRPr="00AF1656">
              <w:rPr>
                <w:rFonts w:cstheme="minorHAnsi"/>
                <w:i/>
                <w:iCs/>
                <w:sz w:val="18"/>
                <w:szCs w:val="18"/>
              </w:rPr>
              <w:t xml:space="preserve"> for POU’s.</w:t>
            </w:r>
            <w:r w:rsidRPr="00AF1656">
              <w:rPr>
                <w:rFonts w:cstheme="minorHAnsi"/>
                <w:sz w:val="18"/>
                <w:szCs w:val="18"/>
              </w:rPr>
              <w:t xml:space="preserve"> </w:t>
            </w:r>
          </w:p>
        </w:tc>
        <w:tc>
          <w:tcPr>
            <w:tcW w:w="3420" w:type="dxa"/>
            <w:tcBorders>
              <w:top w:val="single" w:sz="4" w:space="0" w:color="auto"/>
              <w:left w:val="single" w:sz="4" w:space="0" w:color="auto"/>
              <w:bottom w:val="single" w:sz="4" w:space="0" w:color="auto"/>
              <w:right w:val="single" w:sz="4" w:space="0" w:color="auto"/>
            </w:tcBorders>
            <w:shd w:val="clear" w:color="auto" w:fill="auto"/>
            <w:vAlign w:val="center"/>
          </w:tcPr>
          <w:p w14:paraId="0A7B3FAA" w14:textId="15C7274B" w:rsidR="00ED39D7" w:rsidRPr="00647AE6" w:rsidRDefault="00ED39D7" w:rsidP="00FD3A9A">
            <w:pPr>
              <w:spacing w:after="0" w:line="240" w:lineRule="auto"/>
              <w:rPr>
                <w:rFonts w:ascii="Calibri" w:eastAsia="Times New Roman" w:hAnsi="Calibri" w:cs="Times New Roman"/>
                <w:i/>
                <w:iCs/>
                <w:sz w:val="20"/>
                <w:szCs w:val="20"/>
              </w:rPr>
            </w:pPr>
            <w:r w:rsidRPr="00647AE6">
              <w:rPr>
                <w:rFonts w:ascii="Calibri" w:eastAsia="Times New Roman" w:hAnsi="Calibri" w:cs="Times New Roman"/>
                <w:i/>
                <w:iCs/>
                <w:sz w:val="20"/>
                <w:szCs w:val="20"/>
              </w:rPr>
              <w:t xml:space="preserve">Cost for voluntary participation in central procurement would include a </w:t>
            </w:r>
            <w:proofErr w:type="spellStart"/>
            <w:r w:rsidRPr="00647AE6">
              <w:rPr>
                <w:rFonts w:ascii="Calibri" w:eastAsia="Times New Roman" w:hAnsi="Calibri" w:cs="Times New Roman"/>
                <w:i/>
                <w:iCs/>
                <w:sz w:val="20"/>
                <w:szCs w:val="20"/>
              </w:rPr>
              <w:t>nonbypassable</w:t>
            </w:r>
            <w:proofErr w:type="spellEnd"/>
            <w:r w:rsidRPr="00647AE6">
              <w:rPr>
                <w:rFonts w:ascii="Calibri" w:eastAsia="Times New Roman" w:hAnsi="Calibri" w:cs="Times New Roman"/>
                <w:i/>
                <w:iCs/>
                <w:sz w:val="20"/>
                <w:szCs w:val="20"/>
              </w:rPr>
              <w:t xml:space="preserve"> charge which could open a door to additional outside costs to Anaheim customers. </w:t>
            </w:r>
          </w:p>
          <w:p w14:paraId="2C9E5CD0" w14:textId="77777777" w:rsidR="00ED39D7" w:rsidRPr="00647AE6" w:rsidRDefault="00ED39D7" w:rsidP="00FD3A9A">
            <w:pPr>
              <w:spacing w:after="0" w:line="240" w:lineRule="auto"/>
              <w:rPr>
                <w:rFonts w:ascii="Calibri" w:eastAsia="Times New Roman" w:hAnsi="Calibri" w:cs="Times New Roman"/>
                <w:i/>
                <w:iCs/>
                <w:sz w:val="20"/>
                <w:szCs w:val="20"/>
              </w:rPr>
            </w:pPr>
          </w:p>
          <w:p w14:paraId="10210ECA" w14:textId="77777777" w:rsidR="00ED39D7" w:rsidRPr="00647AE6" w:rsidRDefault="00ED39D7" w:rsidP="00FD3A9A">
            <w:pPr>
              <w:spacing w:after="0" w:line="240" w:lineRule="auto"/>
              <w:rPr>
                <w:rFonts w:ascii="Calibri" w:eastAsia="Times New Roman" w:hAnsi="Calibri" w:cs="Times New Roman"/>
                <w:i/>
                <w:iCs/>
                <w:sz w:val="20"/>
                <w:szCs w:val="20"/>
              </w:rPr>
            </w:pPr>
            <w:r w:rsidRPr="00647AE6">
              <w:rPr>
                <w:rFonts w:ascii="Calibri" w:eastAsia="Times New Roman" w:hAnsi="Calibri" w:cs="Times New Roman"/>
                <w:i/>
                <w:iCs/>
                <w:sz w:val="20"/>
                <w:szCs w:val="20"/>
              </w:rPr>
              <w:t>Costs for capacity payments only result when Planning Reserve Margin is not met.</w:t>
            </w:r>
          </w:p>
          <w:p w14:paraId="07A0D98A" w14:textId="1A86C956" w:rsidR="00ED39D7" w:rsidRPr="00647AE6" w:rsidRDefault="00ED39D7" w:rsidP="00FD3A9A">
            <w:pPr>
              <w:spacing w:after="0" w:line="240" w:lineRule="auto"/>
              <w:rPr>
                <w:rFonts w:ascii="Calibri" w:eastAsia="Times New Roman" w:hAnsi="Calibri" w:cs="Times New Roman"/>
                <w:i/>
                <w:iCs/>
                <w:sz w:val="20"/>
                <w:szCs w:val="20"/>
              </w:rPr>
            </w:pPr>
          </w:p>
        </w:tc>
        <w:tc>
          <w:tcPr>
            <w:tcW w:w="1620" w:type="dxa"/>
            <w:tcBorders>
              <w:top w:val="single" w:sz="4" w:space="0" w:color="auto"/>
              <w:left w:val="nil"/>
              <w:bottom w:val="single" w:sz="4" w:space="0" w:color="auto"/>
              <w:right w:val="single" w:sz="4" w:space="0" w:color="auto"/>
            </w:tcBorders>
            <w:shd w:val="clear" w:color="auto" w:fill="auto"/>
            <w:vAlign w:val="center"/>
          </w:tcPr>
          <w:p w14:paraId="40C62A78" w14:textId="39F6B201" w:rsidR="00ED39D7" w:rsidRPr="00647AE6" w:rsidRDefault="00ED39D7" w:rsidP="00F04934">
            <w:pPr>
              <w:spacing w:after="0" w:line="240" w:lineRule="auto"/>
              <w:jc w:val="center"/>
              <w:rPr>
                <w:rFonts w:ascii="Calibri" w:eastAsia="Times New Roman" w:hAnsi="Calibri" w:cs="Times New Roman"/>
                <w:sz w:val="20"/>
                <w:szCs w:val="20"/>
              </w:rPr>
            </w:pPr>
            <w:r w:rsidRPr="00647AE6">
              <w:rPr>
                <w:rFonts w:ascii="Calibri" w:eastAsia="Times New Roman" w:hAnsi="Calibri" w:cs="Times New Roman"/>
                <w:sz w:val="20"/>
                <w:szCs w:val="20"/>
              </w:rPr>
              <w:t>TBD</w:t>
            </w:r>
          </w:p>
        </w:tc>
        <w:tc>
          <w:tcPr>
            <w:tcW w:w="3330" w:type="dxa"/>
            <w:tcBorders>
              <w:top w:val="single" w:sz="4" w:space="0" w:color="auto"/>
              <w:left w:val="nil"/>
              <w:bottom w:val="single" w:sz="4" w:space="0" w:color="auto"/>
              <w:right w:val="single" w:sz="4" w:space="0" w:color="auto"/>
            </w:tcBorders>
            <w:shd w:val="clear" w:color="auto" w:fill="auto"/>
            <w:vAlign w:val="center"/>
          </w:tcPr>
          <w:p w14:paraId="04B34F37" w14:textId="72A6C202" w:rsidR="00ED39D7" w:rsidRPr="00647AE6" w:rsidRDefault="00ED39D7" w:rsidP="0067642A">
            <w:pPr>
              <w:spacing w:after="0" w:line="240" w:lineRule="auto"/>
              <w:rPr>
                <w:rFonts w:ascii="Calibri" w:eastAsia="Times New Roman" w:hAnsi="Calibri" w:cs="Times New Roman"/>
                <w:sz w:val="20"/>
                <w:szCs w:val="20"/>
              </w:rPr>
            </w:pPr>
            <w:r w:rsidRPr="00647AE6">
              <w:rPr>
                <w:rFonts w:ascii="Calibri" w:eastAsia="Times New Roman" w:hAnsi="Calibri" w:cs="Times New Roman"/>
                <w:sz w:val="20"/>
                <w:szCs w:val="20"/>
              </w:rPr>
              <w:t>Only penalty is the capacity payment described in the bill. It will not duplicate penalties/ costs charged by CAISO for the same occurrence related to resource scarcity.</w:t>
            </w:r>
          </w:p>
          <w:p w14:paraId="131171DB" w14:textId="77777777" w:rsidR="00ED39D7" w:rsidRPr="00647AE6" w:rsidRDefault="00ED39D7" w:rsidP="0067642A">
            <w:pPr>
              <w:spacing w:after="0" w:line="240" w:lineRule="auto"/>
              <w:rPr>
                <w:rFonts w:ascii="Calibri" w:eastAsia="Times New Roman" w:hAnsi="Calibri" w:cs="Times New Roman"/>
                <w:sz w:val="20"/>
                <w:szCs w:val="20"/>
              </w:rPr>
            </w:pPr>
          </w:p>
          <w:p w14:paraId="0D58254C" w14:textId="3C7CCDBC" w:rsidR="00ED39D7" w:rsidRPr="00647AE6" w:rsidRDefault="00ED39D7" w:rsidP="0067642A">
            <w:pPr>
              <w:spacing w:after="0" w:line="240" w:lineRule="auto"/>
              <w:rPr>
                <w:rFonts w:ascii="Calibri" w:eastAsia="Times New Roman" w:hAnsi="Calibri" w:cs="Times New Roman"/>
                <w:sz w:val="20"/>
                <w:szCs w:val="20"/>
              </w:rPr>
            </w:pPr>
          </w:p>
        </w:tc>
      </w:tr>
      <w:tr w:rsidR="00ED39D7" w:rsidRPr="00E51E13" w14:paraId="0BC410AF" w14:textId="77777777" w:rsidTr="00A42A27">
        <w:trPr>
          <w:gridAfter w:val="5"/>
          <w:wAfter w:w="9222" w:type="dxa"/>
          <w:trHeight w:val="1250"/>
        </w:trPr>
        <w:tc>
          <w:tcPr>
            <w:tcW w:w="450" w:type="dxa"/>
            <w:vMerge/>
            <w:tcBorders>
              <w:left w:val="single" w:sz="4" w:space="0" w:color="auto"/>
              <w:right w:val="single" w:sz="4" w:space="0" w:color="auto"/>
            </w:tcBorders>
            <w:shd w:val="clear" w:color="auto" w:fill="C6D9F1" w:themeFill="text2" w:themeFillTint="33"/>
            <w:textDirection w:val="btLr"/>
          </w:tcPr>
          <w:p w14:paraId="16F035CD" w14:textId="6F1C1579" w:rsidR="00ED39D7" w:rsidRDefault="00ED39D7" w:rsidP="00F4613D">
            <w:pPr>
              <w:spacing w:after="0" w:line="240" w:lineRule="auto"/>
              <w:ind w:left="113" w:right="113"/>
              <w:jc w:val="center"/>
              <w:rPr>
                <w:rFonts w:ascii="Calibri" w:eastAsia="Times New Roman" w:hAnsi="Calibri" w:cs="Times New Roman"/>
                <w:b/>
                <w:bCs/>
                <w:color w:val="000000"/>
              </w:rPr>
            </w:pPr>
          </w:p>
        </w:tc>
        <w:tc>
          <w:tcPr>
            <w:tcW w:w="5652" w:type="dxa"/>
            <w:tcBorders>
              <w:top w:val="single" w:sz="4" w:space="0" w:color="auto"/>
              <w:left w:val="single" w:sz="4" w:space="0" w:color="auto"/>
              <w:bottom w:val="single" w:sz="4" w:space="0" w:color="auto"/>
              <w:right w:val="single" w:sz="4" w:space="0" w:color="auto"/>
            </w:tcBorders>
            <w:shd w:val="clear" w:color="auto" w:fill="auto"/>
            <w:vAlign w:val="center"/>
          </w:tcPr>
          <w:p w14:paraId="742F3328" w14:textId="77777777" w:rsidR="00ED39D7" w:rsidRDefault="00ED39D7" w:rsidP="00F4613D">
            <w:pPr>
              <w:spacing w:after="0" w:line="240" w:lineRule="auto"/>
              <w:rPr>
                <w:rFonts w:ascii="Calibri" w:eastAsia="Times New Roman" w:hAnsi="Calibri" w:cs="Times New Roman"/>
                <w:b/>
                <w:bCs/>
                <w:i/>
                <w:iCs/>
                <w:sz w:val="20"/>
                <w:szCs w:val="20"/>
              </w:rPr>
            </w:pPr>
            <w:r w:rsidRPr="00647AE6">
              <w:rPr>
                <w:rFonts w:ascii="Calibri" w:eastAsia="Times New Roman" w:hAnsi="Calibri" w:cs="Times New Roman"/>
                <w:b/>
                <w:bCs/>
                <w:i/>
                <w:iCs/>
                <w:sz w:val="20"/>
                <w:szCs w:val="20"/>
              </w:rPr>
              <w:t xml:space="preserve">Broadband Permit Batch Applications / </w:t>
            </w:r>
          </w:p>
          <w:p w14:paraId="184CC381" w14:textId="599CECA4" w:rsidR="00ED39D7" w:rsidRPr="002E622F" w:rsidRDefault="00ED39D7" w:rsidP="00F4613D">
            <w:pPr>
              <w:spacing w:after="0" w:line="240" w:lineRule="auto"/>
              <w:rPr>
                <w:rFonts w:ascii="Calibri" w:eastAsia="Times New Roman" w:hAnsi="Calibri" w:cs="Times New Roman"/>
                <w:b/>
                <w:bCs/>
                <w:i/>
                <w:iCs/>
                <w:sz w:val="20"/>
                <w:szCs w:val="20"/>
              </w:rPr>
            </w:pPr>
            <w:r w:rsidRPr="00647AE6">
              <w:rPr>
                <w:rFonts w:ascii="Calibri" w:eastAsia="Times New Roman" w:hAnsi="Calibri" w:cs="Times New Roman"/>
                <w:b/>
                <w:bCs/>
                <w:i/>
                <w:iCs/>
                <w:sz w:val="20"/>
                <w:szCs w:val="20"/>
              </w:rPr>
              <w:t>AB 965</w:t>
            </w:r>
            <w:r>
              <w:rPr>
                <w:rFonts w:ascii="Calibri" w:eastAsia="Times New Roman" w:hAnsi="Calibri" w:cs="Times New Roman"/>
                <w:b/>
                <w:bCs/>
                <w:i/>
                <w:iCs/>
                <w:sz w:val="20"/>
                <w:szCs w:val="20"/>
              </w:rPr>
              <w:t xml:space="preserve"> (2023)</w:t>
            </w:r>
            <w:r w:rsidRPr="00647AE6">
              <w:rPr>
                <w:rFonts w:ascii="Calibri" w:eastAsia="Times New Roman" w:hAnsi="Calibri" w:cs="Times New Roman"/>
                <w:b/>
                <w:bCs/>
                <w:i/>
                <w:iCs/>
                <w:sz w:val="20"/>
                <w:szCs w:val="20"/>
              </w:rPr>
              <w:t>:</w:t>
            </w:r>
            <w:r w:rsidRPr="00647AE6">
              <w:rPr>
                <w:rFonts w:ascii="Calibri" w:eastAsia="Times New Roman" w:hAnsi="Calibri" w:cs="Times New Roman"/>
                <w:sz w:val="20"/>
                <w:szCs w:val="20"/>
              </w:rPr>
              <w:t xml:space="preserve"> Requires local agencies to undertake batch broadband permit processing within 60 days.</w:t>
            </w:r>
          </w:p>
        </w:tc>
        <w:tc>
          <w:tcPr>
            <w:tcW w:w="3420" w:type="dxa"/>
            <w:tcBorders>
              <w:top w:val="single" w:sz="4" w:space="0" w:color="auto"/>
              <w:left w:val="single" w:sz="4" w:space="0" w:color="auto"/>
              <w:bottom w:val="single" w:sz="4" w:space="0" w:color="auto"/>
              <w:right w:val="single" w:sz="4" w:space="0" w:color="auto"/>
            </w:tcBorders>
            <w:shd w:val="clear" w:color="auto" w:fill="auto"/>
            <w:vAlign w:val="center"/>
          </w:tcPr>
          <w:p w14:paraId="53F4F105" w14:textId="71613FE3" w:rsidR="00ED39D7" w:rsidRPr="002E622F" w:rsidRDefault="00ED39D7" w:rsidP="00F4613D">
            <w:pPr>
              <w:spacing w:after="0" w:line="240" w:lineRule="auto"/>
              <w:rPr>
                <w:rFonts w:ascii="Calibri" w:eastAsia="Times New Roman" w:hAnsi="Calibri" w:cs="Times New Roman"/>
                <w:i/>
                <w:iCs/>
                <w:sz w:val="20"/>
                <w:szCs w:val="20"/>
              </w:rPr>
            </w:pPr>
            <w:r w:rsidRPr="00647AE6">
              <w:rPr>
                <w:rFonts w:ascii="Calibri" w:eastAsia="Times New Roman" w:hAnsi="Calibri" w:cs="Times New Roman"/>
                <w:i/>
                <w:iCs/>
                <w:sz w:val="20"/>
                <w:szCs w:val="20"/>
              </w:rPr>
              <w:t>Annual increased staffing costs related to potential accelerated and increased volume of permits: $75,000</w:t>
            </w:r>
          </w:p>
        </w:tc>
        <w:tc>
          <w:tcPr>
            <w:tcW w:w="1620" w:type="dxa"/>
            <w:tcBorders>
              <w:top w:val="single" w:sz="4" w:space="0" w:color="auto"/>
              <w:left w:val="nil"/>
              <w:bottom w:val="single" w:sz="4" w:space="0" w:color="auto"/>
              <w:right w:val="single" w:sz="4" w:space="0" w:color="auto"/>
            </w:tcBorders>
            <w:shd w:val="clear" w:color="auto" w:fill="auto"/>
            <w:vAlign w:val="center"/>
          </w:tcPr>
          <w:p w14:paraId="76CF3FC1" w14:textId="3ADCEDF6" w:rsidR="00ED39D7" w:rsidRPr="002E622F" w:rsidRDefault="00ED39D7" w:rsidP="00F4613D">
            <w:pPr>
              <w:spacing w:after="0" w:line="240" w:lineRule="auto"/>
              <w:jc w:val="center"/>
              <w:rPr>
                <w:rFonts w:ascii="Calibri" w:eastAsia="Times New Roman" w:hAnsi="Calibri" w:cs="Times New Roman"/>
                <w:sz w:val="20"/>
                <w:szCs w:val="20"/>
              </w:rPr>
            </w:pPr>
            <w:r w:rsidRPr="00647AE6">
              <w:rPr>
                <w:rFonts w:ascii="Calibri" w:eastAsia="Times New Roman" w:hAnsi="Calibri" w:cs="Times New Roman"/>
                <w:sz w:val="20"/>
                <w:szCs w:val="20"/>
              </w:rPr>
              <w:t>0.03% increase</w:t>
            </w:r>
          </w:p>
        </w:tc>
        <w:tc>
          <w:tcPr>
            <w:tcW w:w="3330" w:type="dxa"/>
            <w:tcBorders>
              <w:top w:val="single" w:sz="4" w:space="0" w:color="auto"/>
              <w:left w:val="nil"/>
              <w:bottom w:val="single" w:sz="4" w:space="0" w:color="auto"/>
              <w:right w:val="single" w:sz="4" w:space="0" w:color="auto"/>
            </w:tcBorders>
            <w:shd w:val="clear" w:color="auto" w:fill="auto"/>
            <w:vAlign w:val="center"/>
          </w:tcPr>
          <w:p w14:paraId="07CDC162" w14:textId="48A1D201" w:rsidR="00ED39D7" w:rsidRPr="002E622F" w:rsidRDefault="00ED39D7" w:rsidP="00F4613D">
            <w:pPr>
              <w:spacing w:after="0" w:line="240" w:lineRule="auto"/>
              <w:rPr>
                <w:rFonts w:ascii="Calibri" w:eastAsia="Times New Roman" w:hAnsi="Calibri" w:cs="Times New Roman"/>
                <w:sz w:val="20"/>
                <w:szCs w:val="20"/>
              </w:rPr>
            </w:pPr>
            <w:r w:rsidRPr="00647AE6">
              <w:rPr>
                <w:rFonts w:ascii="Calibri" w:eastAsia="Times New Roman" w:hAnsi="Calibri" w:cs="Times New Roman"/>
                <w:sz w:val="20"/>
                <w:szCs w:val="20"/>
              </w:rPr>
              <w:t>Financial penalties not specified. Potential for civil suit for non-compliance. (Potentially could result in cost to implement and any damages attributed to noncompliance.)</w:t>
            </w:r>
          </w:p>
        </w:tc>
      </w:tr>
      <w:tr w:rsidR="00ED39D7" w:rsidRPr="00E51E13" w14:paraId="25190C87" w14:textId="77777777" w:rsidTr="00A42A27">
        <w:trPr>
          <w:gridAfter w:val="5"/>
          <w:wAfter w:w="9222" w:type="dxa"/>
          <w:trHeight w:val="1538"/>
        </w:trPr>
        <w:tc>
          <w:tcPr>
            <w:tcW w:w="450" w:type="dxa"/>
            <w:vMerge/>
            <w:tcBorders>
              <w:left w:val="single" w:sz="4" w:space="0" w:color="auto"/>
              <w:right w:val="single" w:sz="4" w:space="0" w:color="auto"/>
            </w:tcBorders>
            <w:shd w:val="clear" w:color="auto" w:fill="C6D9F1" w:themeFill="text2" w:themeFillTint="33"/>
            <w:textDirection w:val="btLr"/>
          </w:tcPr>
          <w:p w14:paraId="751B8C9E" w14:textId="76A16F9B" w:rsidR="00ED39D7" w:rsidRDefault="00ED39D7" w:rsidP="00F4613D">
            <w:pPr>
              <w:spacing w:after="0" w:line="240" w:lineRule="auto"/>
              <w:ind w:left="113" w:right="113"/>
              <w:jc w:val="center"/>
              <w:rPr>
                <w:rFonts w:ascii="Calibri" w:eastAsia="Times New Roman" w:hAnsi="Calibri" w:cs="Times New Roman"/>
                <w:b/>
                <w:bCs/>
                <w:color w:val="000000"/>
              </w:rPr>
            </w:pPr>
          </w:p>
        </w:tc>
        <w:tc>
          <w:tcPr>
            <w:tcW w:w="5652" w:type="dxa"/>
            <w:tcBorders>
              <w:top w:val="single" w:sz="4" w:space="0" w:color="auto"/>
              <w:left w:val="single" w:sz="4" w:space="0" w:color="auto"/>
              <w:bottom w:val="single" w:sz="4" w:space="0" w:color="auto"/>
              <w:right w:val="single" w:sz="4" w:space="0" w:color="auto"/>
            </w:tcBorders>
            <w:shd w:val="clear" w:color="auto" w:fill="auto"/>
            <w:vAlign w:val="center"/>
          </w:tcPr>
          <w:p w14:paraId="454D0D89" w14:textId="77777777" w:rsidR="00ED39D7" w:rsidRPr="002E622F" w:rsidRDefault="00ED39D7" w:rsidP="00F4613D">
            <w:pPr>
              <w:spacing w:after="0" w:line="240" w:lineRule="auto"/>
              <w:rPr>
                <w:rFonts w:ascii="Calibri" w:eastAsia="Times New Roman" w:hAnsi="Calibri" w:cs="Times New Roman"/>
                <w:b/>
                <w:bCs/>
                <w:i/>
                <w:iCs/>
                <w:sz w:val="20"/>
                <w:szCs w:val="20"/>
              </w:rPr>
            </w:pPr>
            <w:r w:rsidRPr="002E622F">
              <w:rPr>
                <w:rFonts w:ascii="Calibri" w:eastAsia="Times New Roman" w:hAnsi="Calibri" w:cs="Times New Roman"/>
                <w:b/>
                <w:bCs/>
                <w:i/>
                <w:iCs/>
                <w:sz w:val="20"/>
                <w:szCs w:val="20"/>
              </w:rPr>
              <w:t xml:space="preserve">Planning Reserve Margin / AB 209 (2022): </w:t>
            </w:r>
          </w:p>
          <w:p w14:paraId="3CEE74B3" w14:textId="5F53064D" w:rsidR="00ED39D7" w:rsidRPr="002E622F" w:rsidRDefault="00ED39D7" w:rsidP="00F4613D">
            <w:pPr>
              <w:spacing w:after="0" w:line="240" w:lineRule="auto"/>
              <w:rPr>
                <w:rFonts w:ascii="Calibri" w:eastAsia="Times New Roman" w:hAnsi="Calibri" w:cs="Times New Roman"/>
                <w:bCs/>
                <w:i/>
                <w:iCs/>
                <w:sz w:val="20"/>
                <w:szCs w:val="20"/>
              </w:rPr>
            </w:pPr>
            <w:r w:rsidRPr="002E622F">
              <w:rPr>
                <w:rFonts w:ascii="Calibri" w:eastAsia="Times New Roman" w:hAnsi="Calibri" w:cs="Times New Roman"/>
                <w:bCs/>
                <w:i/>
                <w:iCs/>
                <w:sz w:val="20"/>
                <w:szCs w:val="20"/>
              </w:rPr>
              <w:t>Requires the CEC to develop recommendations about approaches to determine an appropriate minimum planning reserve margin for POUs.</w:t>
            </w:r>
          </w:p>
        </w:tc>
        <w:tc>
          <w:tcPr>
            <w:tcW w:w="3420" w:type="dxa"/>
            <w:tcBorders>
              <w:top w:val="single" w:sz="4" w:space="0" w:color="auto"/>
              <w:left w:val="single" w:sz="4" w:space="0" w:color="auto"/>
              <w:bottom w:val="single" w:sz="4" w:space="0" w:color="auto"/>
              <w:right w:val="single" w:sz="4" w:space="0" w:color="auto"/>
            </w:tcBorders>
            <w:shd w:val="clear" w:color="auto" w:fill="auto"/>
            <w:vAlign w:val="center"/>
          </w:tcPr>
          <w:p w14:paraId="22FFBD16" w14:textId="18B1F31F" w:rsidR="00ED39D7" w:rsidRPr="002E622F" w:rsidRDefault="00ED39D7" w:rsidP="00F4613D">
            <w:pPr>
              <w:spacing w:after="0" w:line="240" w:lineRule="auto"/>
              <w:rPr>
                <w:rFonts w:ascii="Calibri" w:eastAsia="Times New Roman" w:hAnsi="Calibri" w:cs="Times New Roman"/>
                <w:i/>
                <w:iCs/>
                <w:sz w:val="20"/>
                <w:szCs w:val="20"/>
              </w:rPr>
            </w:pPr>
            <w:r w:rsidRPr="002E622F">
              <w:rPr>
                <w:rFonts w:ascii="Calibri" w:eastAsia="Times New Roman" w:hAnsi="Calibri" w:cs="Times New Roman"/>
                <w:i/>
                <w:iCs/>
                <w:sz w:val="20"/>
                <w:szCs w:val="20"/>
              </w:rPr>
              <w:t xml:space="preserve">The current Planning Reserve Margin (PRM) is 15%. Additional costs are expected if the PRM is increased. </w:t>
            </w:r>
          </w:p>
        </w:tc>
        <w:tc>
          <w:tcPr>
            <w:tcW w:w="1620" w:type="dxa"/>
            <w:tcBorders>
              <w:top w:val="single" w:sz="4" w:space="0" w:color="auto"/>
              <w:left w:val="nil"/>
              <w:bottom w:val="single" w:sz="4" w:space="0" w:color="auto"/>
              <w:right w:val="single" w:sz="4" w:space="0" w:color="auto"/>
            </w:tcBorders>
            <w:shd w:val="clear" w:color="auto" w:fill="auto"/>
            <w:vAlign w:val="center"/>
          </w:tcPr>
          <w:p w14:paraId="4805C876" w14:textId="7B22BD6D" w:rsidR="00ED39D7" w:rsidRPr="002E622F" w:rsidRDefault="00ED39D7" w:rsidP="00F4613D">
            <w:pPr>
              <w:spacing w:after="0" w:line="240" w:lineRule="auto"/>
              <w:jc w:val="center"/>
              <w:rPr>
                <w:rFonts w:ascii="Calibri" w:eastAsia="Times New Roman" w:hAnsi="Calibri" w:cs="Times New Roman"/>
                <w:sz w:val="20"/>
                <w:szCs w:val="20"/>
              </w:rPr>
            </w:pPr>
            <w:r w:rsidRPr="002E622F">
              <w:rPr>
                <w:rFonts w:ascii="Calibri" w:eastAsia="Times New Roman" w:hAnsi="Calibri" w:cs="Times New Roman"/>
                <w:sz w:val="20"/>
                <w:szCs w:val="20"/>
              </w:rPr>
              <w:t>TBD</w:t>
            </w:r>
          </w:p>
        </w:tc>
        <w:tc>
          <w:tcPr>
            <w:tcW w:w="3330" w:type="dxa"/>
            <w:tcBorders>
              <w:top w:val="single" w:sz="4" w:space="0" w:color="auto"/>
              <w:left w:val="nil"/>
              <w:bottom w:val="single" w:sz="4" w:space="0" w:color="auto"/>
              <w:right w:val="single" w:sz="4" w:space="0" w:color="auto"/>
            </w:tcBorders>
            <w:shd w:val="clear" w:color="auto" w:fill="auto"/>
            <w:vAlign w:val="center"/>
          </w:tcPr>
          <w:p w14:paraId="20E83E0C" w14:textId="5A5041EC" w:rsidR="00ED39D7" w:rsidRPr="002E622F" w:rsidRDefault="00ED39D7" w:rsidP="00F4613D">
            <w:pPr>
              <w:spacing w:after="0" w:line="240" w:lineRule="auto"/>
              <w:rPr>
                <w:rFonts w:ascii="Calibri" w:eastAsia="Times New Roman" w:hAnsi="Calibri" w:cs="Times New Roman"/>
                <w:sz w:val="20"/>
                <w:szCs w:val="20"/>
              </w:rPr>
            </w:pPr>
            <w:r w:rsidRPr="002E622F">
              <w:rPr>
                <w:rFonts w:ascii="Calibri" w:eastAsia="Times New Roman" w:hAnsi="Calibri" w:cs="Times New Roman"/>
                <w:sz w:val="20"/>
                <w:szCs w:val="20"/>
              </w:rPr>
              <w:t xml:space="preserve">The CEC recommendations will provide additional information regarding compliance requirements. </w:t>
            </w:r>
          </w:p>
        </w:tc>
      </w:tr>
      <w:tr w:rsidR="00ED39D7" w:rsidRPr="00E51E13" w14:paraId="054C9288" w14:textId="1B382209" w:rsidTr="00A42A27">
        <w:trPr>
          <w:trHeight w:val="1583"/>
        </w:trPr>
        <w:tc>
          <w:tcPr>
            <w:tcW w:w="450" w:type="dxa"/>
            <w:vMerge/>
            <w:tcBorders>
              <w:left w:val="single" w:sz="4" w:space="0" w:color="auto"/>
              <w:bottom w:val="single" w:sz="4" w:space="0" w:color="auto"/>
              <w:right w:val="single" w:sz="4" w:space="0" w:color="auto"/>
            </w:tcBorders>
            <w:shd w:val="clear" w:color="auto" w:fill="C6D9F1" w:themeFill="text2" w:themeFillTint="33"/>
            <w:textDirection w:val="btLr"/>
          </w:tcPr>
          <w:p w14:paraId="04F43DB8" w14:textId="734DEBB2" w:rsidR="00ED39D7" w:rsidRDefault="00ED39D7" w:rsidP="00F4613D">
            <w:pPr>
              <w:spacing w:after="0" w:line="240" w:lineRule="auto"/>
              <w:ind w:left="113" w:right="113"/>
              <w:jc w:val="center"/>
              <w:rPr>
                <w:rFonts w:ascii="Calibri" w:eastAsia="Times New Roman" w:hAnsi="Calibri" w:cs="Times New Roman"/>
                <w:b/>
                <w:bCs/>
                <w:color w:val="000000"/>
              </w:rPr>
            </w:pPr>
          </w:p>
        </w:tc>
        <w:tc>
          <w:tcPr>
            <w:tcW w:w="5652" w:type="dxa"/>
            <w:tcBorders>
              <w:top w:val="single" w:sz="4" w:space="0" w:color="auto"/>
              <w:left w:val="single" w:sz="4" w:space="0" w:color="auto"/>
              <w:bottom w:val="single" w:sz="4" w:space="0" w:color="auto"/>
              <w:right w:val="single" w:sz="4" w:space="0" w:color="auto"/>
            </w:tcBorders>
            <w:shd w:val="clear" w:color="auto" w:fill="auto"/>
            <w:vAlign w:val="center"/>
          </w:tcPr>
          <w:p w14:paraId="1BCF71C2" w14:textId="0010CA24" w:rsidR="00ED39D7" w:rsidRPr="00D65FE9" w:rsidRDefault="00ED39D7" w:rsidP="00F4613D">
            <w:pPr>
              <w:spacing w:after="0" w:line="240" w:lineRule="auto"/>
              <w:rPr>
                <w:rFonts w:ascii="Calibri" w:eastAsia="Times New Roman" w:hAnsi="Calibri" w:cs="Times New Roman"/>
                <w:bCs/>
                <w:i/>
                <w:iCs/>
                <w:sz w:val="20"/>
                <w:szCs w:val="20"/>
              </w:rPr>
            </w:pPr>
            <w:r w:rsidRPr="00D65FE9">
              <w:rPr>
                <w:rFonts w:ascii="Calibri" w:eastAsia="Times New Roman" w:hAnsi="Calibri" w:cs="Times New Roman"/>
                <w:b/>
                <w:bCs/>
                <w:i/>
                <w:iCs/>
                <w:sz w:val="20"/>
                <w:szCs w:val="20"/>
              </w:rPr>
              <w:t xml:space="preserve">Wildfire Mitigation Plans / SB 901 (2018): </w:t>
            </w:r>
            <w:r w:rsidRPr="00D65FE9">
              <w:rPr>
                <w:rFonts w:ascii="Calibri" w:eastAsia="Times New Roman" w:hAnsi="Calibri" w:cs="Times New Roman"/>
                <w:bCs/>
                <w:i/>
                <w:iCs/>
                <w:sz w:val="20"/>
                <w:szCs w:val="20"/>
              </w:rPr>
              <w:t xml:space="preserve">Requires publicly owned utilities to annually prepare a plan on maintaining and operating their electrical facilities to minimize risk of catastrophic wildfires, which must be reviewed by an independent evaluator.  </w:t>
            </w:r>
          </w:p>
          <w:p w14:paraId="28F0820E" w14:textId="36CA8157" w:rsidR="00ED39D7" w:rsidRPr="00D65FE9" w:rsidRDefault="00ED39D7" w:rsidP="00F4613D">
            <w:pPr>
              <w:spacing w:after="0" w:line="240" w:lineRule="auto"/>
              <w:rPr>
                <w:rFonts w:ascii="Calibri" w:eastAsia="Times New Roman" w:hAnsi="Calibri" w:cs="Times New Roman"/>
                <w:bCs/>
                <w:i/>
                <w:iCs/>
                <w:sz w:val="20"/>
                <w:szCs w:val="20"/>
              </w:rPr>
            </w:pPr>
            <w:r w:rsidRPr="00D65FE9">
              <w:rPr>
                <w:rFonts w:ascii="Calibri" w:eastAsia="Times New Roman" w:hAnsi="Calibri" w:cs="Times New Roman"/>
                <w:b/>
                <w:bCs/>
                <w:i/>
                <w:iCs/>
                <w:sz w:val="20"/>
                <w:szCs w:val="20"/>
              </w:rPr>
              <w:t>AB 1054 (2019):</w:t>
            </w:r>
            <w:r w:rsidRPr="00D65FE9">
              <w:rPr>
                <w:rFonts w:ascii="Calibri" w:eastAsia="Times New Roman" w:hAnsi="Calibri" w:cs="Times New Roman"/>
                <w:bCs/>
                <w:i/>
                <w:iCs/>
                <w:sz w:val="20"/>
                <w:szCs w:val="20"/>
              </w:rPr>
              <w:t xml:space="preserve"> Requires plans to be submitted annually to the CA Wildfire Safety Advisory Board; and to submit a comprehensive revision of the plan every three years.</w:t>
            </w:r>
          </w:p>
        </w:tc>
        <w:tc>
          <w:tcPr>
            <w:tcW w:w="3420" w:type="dxa"/>
            <w:tcBorders>
              <w:top w:val="single" w:sz="4" w:space="0" w:color="auto"/>
              <w:left w:val="single" w:sz="4" w:space="0" w:color="auto"/>
              <w:bottom w:val="single" w:sz="4" w:space="0" w:color="auto"/>
              <w:right w:val="single" w:sz="4" w:space="0" w:color="auto"/>
            </w:tcBorders>
            <w:shd w:val="clear" w:color="auto" w:fill="auto"/>
            <w:vAlign w:val="center"/>
          </w:tcPr>
          <w:p w14:paraId="5CC9D2F1" w14:textId="77777777" w:rsidR="00ED39D7" w:rsidRPr="00D65FE9" w:rsidRDefault="00ED39D7" w:rsidP="00F4613D">
            <w:pPr>
              <w:spacing w:after="0" w:line="240" w:lineRule="auto"/>
              <w:rPr>
                <w:rFonts w:ascii="Calibri" w:eastAsia="Times New Roman" w:hAnsi="Calibri" w:cs="Times New Roman"/>
                <w:i/>
                <w:iCs/>
                <w:sz w:val="20"/>
                <w:szCs w:val="20"/>
              </w:rPr>
            </w:pPr>
            <w:r w:rsidRPr="00D65FE9">
              <w:rPr>
                <w:rFonts w:ascii="Calibri" w:eastAsia="Times New Roman" w:hAnsi="Calibri" w:cs="Times New Roman"/>
                <w:i/>
                <w:iCs/>
                <w:sz w:val="20"/>
                <w:szCs w:val="20"/>
              </w:rPr>
              <w:t xml:space="preserve">Cost to underground facilities in priority wildfire areas to further minimize wildfire risk is approx. $3 to 4 million. </w:t>
            </w:r>
          </w:p>
          <w:p w14:paraId="4BEE9EEA" w14:textId="77777777" w:rsidR="00ED39D7" w:rsidRPr="00D65FE9" w:rsidRDefault="00ED39D7" w:rsidP="00F4613D">
            <w:pPr>
              <w:spacing w:after="0" w:line="240" w:lineRule="auto"/>
              <w:rPr>
                <w:rFonts w:ascii="Calibri" w:eastAsia="Times New Roman" w:hAnsi="Calibri" w:cs="Times New Roman"/>
                <w:i/>
                <w:iCs/>
                <w:sz w:val="20"/>
                <w:szCs w:val="20"/>
              </w:rPr>
            </w:pPr>
          </w:p>
          <w:p w14:paraId="2DBA0E22" w14:textId="185C9F4D" w:rsidR="00ED39D7" w:rsidRPr="00D65FE9" w:rsidRDefault="00ED39D7" w:rsidP="00F4613D">
            <w:pPr>
              <w:spacing w:after="0" w:line="240" w:lineRule="auto"/>
              <w:rPr>
                <w:rFonts w:ascii="Calibri" w:eastAsia="Times New Roman" w:hAnsi="Calibri" w:cs="Times New Roman"/>
                <w:i/>
                <w:iCs/>
                <w:sz w:val="20"/>
                <w:szCs w:val="20"/>
              </w:rPr>
            </w:pPr>
            <w:r w:rsidRPr="00D65FE9">
              <w:rPr>
                <w:rFonts w:ascii="Calibri" w:eastAsia="Times New Roman" w:hAnsi="Calibri" w:cs="Times New Roman"/>
                <w:i/>
                <w:iCs/>
                <w:sz w:val="20"/>
                <w:szCs w:val="20"/>
              </w:rPr>
              <w:t>Costs for an independent evaluation of wildfire mitigation plan: TBD</w:t>
            </w:r>
          </w:p>
        </w:tc>
        <w:tc>
          <w:tcPr>
            <w:tcW w:w="1620" w:type="dxa"/>
            <w:tcBorders>
              <w:top w:val="single" w:sz="4" w:space="0" w:color="auto"/>
              <w:left w:val="nil"/>
              <w:bottom w:val="single" w:sz="4" w:space="0" w:color="auto"/>
              <w:right w:val="single" w:sz="4" w:space="0" w:color="auto"/>
            </w:tcBorders>
            <w:shd w:val="clear" w:color="auto" w:fill="auto"/>
            <w:vAlign w:val="center"/>
          </w:tcPr>
          <w:p w14:paraId="55BCE6EC" w14:textId="06671713" w:rsidR="00ED39D7" w:rsidRPr="00D65FE9" w:rsidRDefault="00ED39D7" w:rsidP="00F4613D">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 xml:space="preserve">Minor </w:t>
            </w:r>
            <w:r w:rsidRPr="00D65FE9">
              <w:rPr>
                <w:rFonts w:ascii="Calibri" w:eastAsia="Times New Roman" w:hAnsi="Calibri" w:cs="Times New Roman"/>
                <w:sz w:val="20"/>
                <w:szCs w:val="20"/>
              </w:rPr>
              <w:t xml:space="preserve"> increase</w:t>
            </w:r>
          </w:p>
        </w:tc>
        <w:tc>
          <w:tcPr>
            <w:tcW w:w="3330" w:type="dxa"/>
            <w:tcBorders>
              <w:top w:val="single" w:sz="4" w:space="0" w:color="auto"/>
              <w:left w:val="nil"/>
              <w:bottom w:val="single" w:sz="4" w:space="0" w:color="auto"/>
              <w:right w:val="single" w:sz="4" w:space="0" w:color="auto"/>
            </w:tcBorders>
            <w:shd w:val="clear" w:color="auto" w:fill="auto"/>
            <w:vAlign w:val="center"/>
          </w:tcPr>
          <w:p w14:paraId="4AF3CAE5" w14:textId="12A2926C" w:rsidR="00ED39D7" w:rsidRPr="00D65FE9" w:rsidRDefault="00ED39D7" w:rsidP="00F4613D">
            <w:pPr>
              <w:spacing w:after="0" w:line="240" w:lineRule="auto"/>
              <w:rPr>
                <w:rFonts w:ascii="Calibri" w:eastAsia="Times New Roman" w:hAnsi="Calibri" w:cs="Times New Roman"/>
                <w:sz w:val="20"/>
                <w:szCs w:val="20"/>
              </w:rPr>
            </w:pPr>
            <w:r w:rsidRPr="00D65FE9">
              <w:rPr>
                <w:rFonts w:ascii="Calibri" w:eastAsia="Times New Roman" w:hAnsi="Calibri" w:cs="Times New Roman"/>
                <w:sz w:val="20"/>
                <w:szCs w:val="20"/>
              </w:rPr>
              <w:t>Financial penalties not specified. Potential for civil suit for non-compliance. (Potentially could result in cost to implement and any damages attributed to noncompliance.)</w:t>
            </w:r>
          </w:p>
        </w:tc>
        <w:tc>
          <w:tcPr>
            <w:tcW w:w="438" w:type="dxa"/>
            <w:textDirection w:val="btLr"/>
            <w:vAlign w:val="center"/>
          </w:tcPr>
          <w:p w14:paraId="537E7488" w14:textId="00AB153C" w:rsidR="00ED39D7" w:rsidRPr="00E51E13" w:rsidRDefault="00ED39D7" w:rsidP="00F4613D">
            <w:r>
              <w:t xml:space="preserve"> </w:t>
            </w:r>
          </w:p>
        </w:tc>
        <w:tc>
          <w:tcPr>
            <w:tcW w:w="2196" w:type="dxa"/>
            <w:vAlign w:val="center"/>
          </w:tcPr>
          <w:p w14:paraId="35496743" w14:textId="243AD996" w:rsidR="00ED39D7" w:rsidRPr="00E51E13" w:rsidRDefault="00ED39D7" w:rsidP="00F4613D"/>
        </w:tc>
        <w:tc>
          <w:tcPr>
            <w:tcW w:w="2196" w:type="dxa"/>
            <w:vAlign w:val="center"/>
          </w:tcPr>
          <w:p w14:paraId="5C0B57B8" w14:textId="6266FE68" w:rsidR="00ED39D7" w:rsidRPr="00E51E13" w:rsidRDefault="00ED39D7" w:rsidP="00F4613D"/>
        </w:tc>
        <w:tc>
          <w:tcPr>
            <w:tcW w:w="2196" w:type="dxa"/>
            <w:vAlign w:val="center"/>
          </w:tcPr>
          <w:p w14:paraId="3A311AA4" w14:textId="28C6819C" w:rsidR="00ED39D7" w:rsidRPr="00E51E13" w:rsidRDefault="00ED39D7" w:rsidP="00F4613D"/>
        </w:tc>
        <w:tc>
          <w:tcPr>
            <w:tcW w:w="2196" w:type="dxa"/>
            <w:vAlign w:val="center"/>
          </w:tcPr>
          <w:p w14:paraId="08D7D588" w14:textId="30A0ED90" w:rsidR="00ED39D7" w:rsidRPr="00E51E13" w:rsidRDefault="00ED39D7" w:rsidP="00F4613D"/>
        </w:tc>
      </w:tr>
    </w:tbl>
    <w:p w14:paraId="5B6AB4C4" w14:textId="77777777" w:rsidR="00ED39D7" w:rsidRDefault="00ED39D7">
      <w:r>
        <w:br w:type="page"/>
      </w:r>
    </w:p>
    <w:tbl>
      <w:tblPr>
        <w:tblW w:w="14472" w:type="dxa"/>
        <w:tblInd w:w="-162" w:type="dxa"/>
        <w:tblLayout w:type="fixed"/>
        <w:tblLook w:val="04A0" w:firstRow="1" w:lastRow="0" w:firstColumn="1" w:lastColumn="0" w:noHBand="0" w:noVBand="1"/>
      </w:tblPr>
      <w:tblGrid>
        <w:gridCol w:w="450"/>
        <w:gridCol w:w="5652"/>
        <w:gridCol w:w="3330"/>
        <w:gridCol w:w="1710"/>
        <w:gridCol w:w="3330"/>
      </w:tblGrid>
      <w:tr w:rsidR="000242EE" w:rsidRPr="00E51E13" w14:paraId="1AE4EB67" w14:textId="77777777" w:rsidTr="00ED39D7">
        <w:trPr>
          <w:trHeight w:val="350"/>
        </w:trPr>
        <w:tc>
          <w:tcPr>
            <w:tcW w:w="6102" w:type="dxa"/>
            <w:gridSpan w:val="2"/>
            <w:tcBorders>
              <w:right w:val="single" w:sz="4" w:space="0" w:color="auto"/>
            </w:tcBorders>
            <w:shd w:val="clear" w:color="auto" w:fill="auto"/>
            <w:textDirection w:val="btLr"/>
            <w:vAlign w:val="center"/>
          </w:tcPr>
          <w:p w14:paraId="75203FE5" w14:textId="179F757B" w:rsidR="000242EE" w:rsidRPr="00E51E13" w:rsidRDefault="000242EE" w:rsidP="00F4613D">
            <w:pPr>
              <w:spacing w:after="0" w:line="240" w:lineRule="auto"/>
              <w:jc w:val="center"/>
              <w:rPr>
                <w:rFonts w:ascii="Calibri" w:eastAsia="Times New Roman" w:hAnsi="Calibri" w:cs="Times New Roman"/>
                <w:b/>
                <w:bCs/>
                <w:color w:val="000000"/>
                <w:sz w:val="18"/>
                <w:szCs w:val="18"/>
              </w:rPr>
            </w:pPr>
            <w:r>
              <w:lastRenderedPageBreak/>
              <w:br w:type="page"/>
              <w:t xml:space="preserve"> </w:t>
            </w:r>
          </w:p>
        </w:tc>
        <w:tc>
          <w:tcPr>
            <w:tcW w:w="3330"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71402601" w14:textId="77777777" w:rsidR="000242EE" w:rsidRPr="00E51E13" w:rsidRDefault="000242EE" w:rsidP="00F4613D">
            <w:pPr>
              <w:spacing w:after="0" w:line="240" w:lineRule="auto"/>
              <w:jc w:val="center"/>
              <w:rPr>
                <w:rFonts w:ascii="Calibri" w:eastAsia="Times New Roman" w:hAnsi="Calibri" w:cs="Times New Roman"/>
                <w:b/>
                <w:bCs/>
                <w:color w:val="000000"/>
              </w:rPr>
            </w:pPr>
            <w:r w:rsidRPr="00E51E13">
              <w:rPr>
                <w:rFonts w:ascii="Calibri" w:eastAsia="Times New Roman" w:hAnsi="Calibri" w:cs="Times New Roman"/>
                <w:b/>
                <w:bCs/>
                <w:color w:val="000000"/>
              </w:rPr>
              <w:t>Estimated Cost of Implementation</w:t>
            </w:r>
          </w:p>
        </w:tc>
        <w:tc>
          <w:tcPr>
            <w:tcW w:w="1710" w:type="dxa"/>
            <w:tcBorders>
              <w:top w:val="single" w:sz="4" w:space="0" w:color="auto"/>
              <w:left w:val="nil"/>
              <w:bottom w:val="single" w:sz="4" w:space="0" w:color="auto"/>
              <w:right w:val="single" w:sz="4" w:space="0" w:color="auto"/>
            </w:tcBorders>
            <w:shd w:val="clear" w:color="auto" w:fill="E5DFEC" w:themeFill="accent4" w:themeFillTint="33"/>
            <w:vAlign w:val="center"/>
          </w:tcPr>
          <w:p w14:paraId="44FEF145" w14:textId="77777777" w:rsidR="000242EE" w:rsidRPr="00E51E13" w:rsidRDefault="000242EE" w:rsidP="00F4613D">
            <w:pPr>
              <w:spacing w:after="0" w:line="240" w:lineRule="auto"/>
              <w:jc w:val="center"/>
              <w:rPr>
                <w:rFonts w:ascii="Calibri" w:eastAsia="Times New Roman" w:hAnsi="Calibri" w:cs="Times New Roman"/>
                <w:b/>
                <w:bCs/>
                <w:color w:val="000000"/>
              </w:rPr>
            </w:pPr>
            <w:r w:rsidRPr="00E51E13">
              <w:rPr>
                <w:rFonts w:ascii="Calibri" w:eastAsia="Times New Roman" w:hAnsi="Calibri" w:cs="Times New Roman"/>
                <w:b/>
                <w:bCs/>
                <w:color w:val="000000"/>
              </w:rPr>
              <w:t>Estimated Rate Impact</w:t>
            </w:r>
          </w:p>
        </w:tc>
        <w:tc>
          <w:tcPr>
            <w:tcW w:w="3330" w:type="dxa"/>
            <w:tcBorders>
              <w:top w:val="single" w:sz="4" w:space="0" w:color="auto"/>
              <w:left w:val="nil"/>
              <w:bottom w:val="single" w:sz="4" w:space="0" w:color="auto"/>
              <w:right w:val="single" w:sz="4" w:space="0" w:color="auto"/>
            </w:tcBorders>
            <w:shd w:val="clear" w:color="auto" w:fill="DAEEF3" w:themeFill="accent5" w:themeFillTint="33"/>
            <w:vAlign w:val="center"/>
          </w:tcPr>
          <w:p w14:paraId="037AB61E" w14:textId="77777777" w:rsidR="000242EE" w:rsidRPr="00E51E13" w:rsidRDefault="000242EE" w:rsidP="00F4613D">
            <w:pPr>
              <w:spacing w:after="0" w:line="240" w:lineRule="auto"/>
              <w:jc w:val="center"/>
              <w:rPr>
                <w:rFonts w:ascii="Calibri" w:eastAsia="Times New Roman" w:hAnsi="Calibri" w:cs="Times New Roman"/>
                <w:b/>
                <w:bCs/>
                <w:color w:val="000000"/>
              </w:rPr>
            </w:pPr>
            <w:r w:rsidRPr="00E51E13">
              <w:rPr>
                <w:rFonts w:ascii="Calibri" w:eastAsia="Times New Roman" w:hAnsi="Calibri" w:cs="Times New Roman"/>
                <w:b/>
                <w:bCs/>
                <w:color w:val="000000"/>
              </w:rPr>
              <w:t xml:space="preserve">Penalties / Other  Potential                                  </w:t>
            </w:r>
            <w:r w:rsidRPr="007856D6">
              <w:rPr>
                <w:rFonts w:ascii="Calibri" w:eastAsia="Times New Roman" w:hAnsi="Calibri" w:cs="Times New Roman"/>
                <w:b/>
                <w:bCs/>
                <w:color w:val="000000"/>
                <w:shd w:val="clear" w:color="auto" w:fill="DAEEF3" w:themeFill="accent5" w:themeFillTint="33"/>
              </w:rPr>
              <w:t>C</w:t>
            </w:r>
            <w:r w:rsidRPr="00E51E13">
              <w:rPr>
                <w:rFonts w:ascii="Calibri" w:eastAsia="Times New Roman" w:hAnsi="Calibri" w:cs="Times New Roman"/>
                <w:b/>
                <w:bCs/>
                <w:color w:val="000000"/>
              </w:rPr>
              <w:t>ost Impacts</w:t>
            </w:r>
          </w:p>
        </w:tc>
      </w:tr>
      <w:tr w:rsidR="000242EE" w:rsidRPr="00E51E13" w14:paraId="5DE6CD54" w14:textId="77777777" w:rsidTr="00ED39D7">
        <w:trPr>
          <w:trHeight w:val="1907"/>
        </w:trPr>
        <w:tc>
          <w:tcPr>
            <w:tcW w:w="450" w:type="dxa"/>
            <w:vMerge w:val="restart"/>
            <w:tcBorders>
              <w:top w:val="single" w:sz="4" w:space="0" w:color="auto"/>
              <w:left w:val="single" w:sz="4" w:space="0" w:color="auto"/>
              <w:right w:val="single" w:sz="4" w:space="0" w:color="auto"/>
            </w:tcBorders>
            <w:shd w:val="clear" w:color="auto" w:fill="C6D9F1" w:themeFill="text2" w:themeFillTint="33"/>
            <w:textDirection w:val="btLr"/>
          </w:tcPr>
          <w:p w14:paraId="4E385916" w14:textId="5D9A8037" w:rsidR="000242EE" w:rsidRPr="00345DFB" w:rsidRDefault="000242EE" w:rsidP="00F4613D">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Reliability</w:t>
            </w:r>
          </w:p>
        </w:tc>
        <w:tc>
          <w:tcPr>
            <w:tcW w:w="5652" w:type="dxa"/>
            <w:tcBorders>
              <w:top w:val="single" w:sz="4" w:space="0" w:color="auto"/>
              <w:left w:val="single" w:sz="4" w:space="0" w:color="auto"/>
              <w:bottom w:val="single" w:sz="4" w:space="0" w:color="auto"/>
              <w:right w:val="single" w:sz="4" w:space="0" w:color="auto"/>
            </w:tcBorders>
            <w:shd w:val="clear" w:color="auto" w:fill="auto"/>
            <w:vAlign w:val="center"/>
          </w:tcPr>
          <w:p w14:paraId="62BE713D" w14:textId="59C5A0D4" w:rsidR="000242EE" w:rsidRPr="00BF2498" w:rsidRDefault="000242EE" w:rsidP="00F4613D">
            <w:pPr>
              <w:spacing w:after="0" w:line="240" w:lineRule="auto"/>
              <w:rPr>
                <w:rFonts w:ascii="Calibri" w:eastAsia="Times New Roman" w:hAnsi="Calibri" w:cs="Times New Roman"/>
                <w:b/>
                <w:bCs/>
                <w:i/>
                <w:iCs/>
                <w:sz w:val="20"/>
                <w:szCs w:val="20"/>
              </w:rPr>
            </w:pPr>
            <w:r w:rsidRPr="00BF2498">
              <w:rPr>
                <w:rFonts w:ascii="Calibri" w:eastAsia="Times New Roman" w:hAnsi="Calibri" w:cs="Times New Roman"/>
                <w:b/>
                <w:bCs/>
                <w:i/>
                <w:iCs/>
                <w:sz w:val="20"/>
                <w:szCs w:val="20"/>
              </w:rPr>
              <w:t xml:space="preserve">Energy Storage Targets / AB 2514 (2010): </w:t>
            </w:r>
            <w:r w:rsidRPr="00BF2498">
              <w:rPr>
                <w:rFonts w:ascii="Calibri" w:eastAsia="Times New Roman" w:hAnsi="Calibri" w:cs="Times New Roman"/>
                <w:i/>
                <w:iCs/>
                <w:sz w:val="20"/>
                <w:szCs w:val="20"/>
              </w:rPr>
              <w:t>Requires publicly owned utilities to determine if energy storage resources are appropriate. Energy storage resources include certain technologies and/or applications. If these resources are determined to be appropriate, specific targets for their implementation must be set by 10/1/14 and achieved by 12/1/16.</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center"/>
          </w:tcPr>
          <w:p w14:paraId="3F0B1F9B" w14:textId="77777777" w:rsidR="000242EE" w:rsidRPr="00BF2498" w:rsidRDefault="000242EE" w:rsidP="00F4613D">
            <w:pPr>
              <w:spacing w:after="0" w:line="240" w:lineRule="auto"/>
              <w:rPr>
                <w:rFonts w:ascii="Calibri" w:eastAsia="Times New Roman" w:hAnsi="Calibri" w:cs="Times New Roman"/>
                <w:i/>
                <w:iCs/>
                <w:sz w:val="20"/>
                <w:szCs w:val="20"/>
              </w:rPr>
            </w:pPr>
            <w:r w:rsidRPr="00BF2498">
              <w:rPr>
                <w:rFonts w:ascii="Calibri" w:eastAsia="Times New Roman" w:hAnsi="Calibri" w:cs="Times New Roman"/>
                <w:i/>
                <w:iCs/>
                <w:sz w:val="20"/>
                <w:szCs w:val="20"/>
              </w:rPr>
              <w:t>Evaluate implementation of energy storage technology:  $100,000.</w:t>
            </w:r>
          </w:p>
          <w:p w14:paraId="28C84D1C" w14:textId="77777777" w:rsidR="000242EE" w:rsidRPr="00BF2498" w:rsidRDefault="000242EE" w:rsidP="00F4613D">
            <w:pPr>
              <w:spacing w:after="0" w:line="240" w:lineRule="auto"/>
              <w:rPr>
                <w:rFonts w:ascii="Calibri" w:eastAsia="Times New Roman" w:hAnsi="Calibri" w:cs="Times New Roman"/>
                <w:i/>
                <w:iCs/>
                <w:sz w:val="8"/>
                <w:szCs w:val="8"/>
              </w:rPr>
            </w:pPr>
          </w:p>
          <w:p w14:paraId="2742EFCF" w14:textId="77777777" w:rsidR="000242EE" w:rsidRPr="00BF2498" w:rsidRDefault="000242EE" w:rsidP="00F4613D">
            <w:pPr>
              <w:spacing w:after="0" w:line="240" w:lineRule="auto"/>
              <w:rPr>
                <w:rFonts w:ascii="Calibri" w:eastAsia="Times New Roman" w:hAnsi="Calibri" w:cs="Times New Roman"/>
                <w:i/>
                <w:iCs/>
                <w:sz w:val="20"/>
                <w:szCs w:val="20"/>
              </w:rPr>
            </w:pPr>
            <w:r w:rsidRPr="00BF2498">
              <w:rPr>
                <w:rFonts w:ascii="Calibri" w:eastAsia="Times New Roman" w:hAnsi="Calibri" w:cs="Times New Roman"/>
                <w:i/>
                <w:iCs/>
                <w:sz w:val="20"/>
                <w:szCs w:val="20"/>
              </w:rPr>
              <w:t xml:space="preserve">Hearing on energy storage technology/targets:  $75,000. </w:t>
            </w:r>
          </w:p>
          <w:p w14:paraId="4DF69A5C" w14:textId="77777777" w:rsidR="000242EE" w:rsidRPr="00BF2498" w:rsidRDefault="000242EE" w:rsidP="00F4613D">
            <w:pPr>
              <w:spacing w:after="0" w:line="240" w:lineRule="auto"/>
              <w:rPr>
                <w:rFonts w:ascii="Calibri" w:eastAsia="Times New Roman" w:hAnsi="Calibri" w:cs="Times New Roman"/>
                <w:i/>
                <w:iCs/>
                <w:sz w:val="8"/>
                <w:szCs w:val="8"/>
              </w:rPr>
            </w:pPr>
          </w:p>
          <w:p w14:paraId="088CA42D" w14:textId="77777777" w:rsidR="000242EE" w:rsidRPr="00BF2498" w:rsidRDefault="000242EE" w:rsidP="00F4613D">
            <w:pPr>
              <w:spacing w:after="0" w:line="240" w:lineRule="auto"/>
              <w:rPr>
                <w:rFonts w:ascii="Calibri" w:eastAsia="Times New Roman" w:hAnsi="Calibri" w:cs="Times New Roman"/>
                <w:i/>
                <w:iCs/>
                <w:sz w:val="20"/>
                <w:szCs w:val="20"/>
              </w:rPr>
            </w:pPr>
            <w:r w:rsidRPr="00BF2498">
              <w:rPr>
                <w:rFonts w:ascii="Calibri" w:eastAsia="Times New Roman" w:hAnsi="Calibri" w:cs="Times New Roman"/>
                <w:i/>
                <w:iCs/>
                <w:sz w:val="20"/>
                <w:szCs w:val="20"/>
              </w:rPr>
              <w:t>Report to Energy Commission:  $50,000.</w:t>
            </w:r>
          </w:p>
        </w:tc>
        <w:tc>
          <w:tcPr>
            <w:tcW w:w="1710" w:type="dxa"/>
            <w:tcBorders>
              <w:top w:val="single" w:sz="4" w:space="0" w:color="auto"/>
              <w:left w:val="nil"/>
              <w:bottom w:val="single" w:sz="4" w:space="0" w:color="auto"/>
              <w:right w:val="single" w:sz="4" w:space="0" w:color="auto"/>
            </w:tcBorders>
            <w:shd w:val="clear" w:color="auto" w:fill="auto"/>
            <w:vAlign w:val="center"/>
          </w:tcPr>
          <w:p w14:paraId="16830347" w14:textId="77777777" w:rsidR="000242EE" w:rsidRPr="00BF2498" w:rsidRDefault="000242EE" w:rsidP="00F4613D">
            <w:pPr>
              <w:spacing w:after="0" w:line="240" w:lineRule="auto"/>
              <w:jc w:val="center"/>
              <w:rPr>
                <w:rFonts w:ascii="Calibri" w:eastAsia="Times New Roman" w:hAnsi="Calibri" w:cs="Times New Roman"/>
                <w:color w:val="000000"/>
                <w:sz w:val="20"/>
                <w:szCs w:val="20"/>
              </w:rPr>
            </w:pPr>
            <w:r w:rsidRPr="00BF2498">
              <w:rPr>
                <w:rFonts w:ascii="Calibri" w:eastAsia="Times New Roman" w:hAnsi="Calibri" w:cs="Times New Roman"/>
                <w:color w:val="000000"/>
                <w:sz w:val="20"/>
                <w:szCs w:val="20"/>
              </w:rPr>
              <w:t>0.07% increase</w:t>
            </w:r>
          </w:p>
        </w:tc>
        <w:tc>
          <w:tcPr>
            <w:tcW w:w="3330" w:type="dxa"/>
            <w:tcBorders>
              <w:top w:val="single" w:sz="4" w:space="0" w:color="auto"/>
              <w:left w:val="nil"/>
              <w:bottom w:val="single" w:sz="4" w:space="0" w:color="auto"/>
              <w:right w:val="single" w:sz="4" w:space="0" w:color="auto"/>
            </w:tcBorders>
            <w:shd w:val="clear" w:color="auto" w:fill="auto"/>
            <w:vAlign w:val="center"/>
          </w:tcPr>
          <w:p w14:paraId="3B2185B9" w14:textId="77777777" w:rsidR="000242EE" w:rsidRPr="00BF2498" w:rsidRDefault="000242EE" w:rsidP="00F4613D">
            <w:pPr>
              <w:spacing w:after="0" w:line="240" w:lineRule="auto"/>
              <w:rPr>
                <w:rFonts w:ascii="Calibri" w:eastAsia="Times New Roman" w:hAnsi="Calibri" w:cs="Times New Roman"/>
                <w:color w:val="000000"/>
                <w:sz w:val="20"/>
                <w:szCs w:val="20"/>
              </w:rPr>
            </w:pPr>
            <w:r w:rsidRPr="00BF2498">
              <w:rPr>
                <w:rFonts w:ascii="Calibri" w:eastAsia="Times New Roman" w:hAnsi="Calibri" w:cs="Times New Roman"/>
                <w:color w:val="000000"/>
                <w:sz w:val="20"/>
                <w:szCs w:val="20"/>
              </w:rPr>
              <w:t>Financial penalties not specified. Potential for civil suit for non-compliance. (Potentially could result in cost to implement and any damages attributed to noncompliance.)</w:t>
            </w:r>
          </w:p>
        </w:tc>
      </w:tr>
      <w:tr w:rsidR="000242EE" w:rsidRPr="00E51E13" w14:paraId="793DC699" w14:textId="77777777" w:rsidTr="00ED39D7">
        <w:trPr>
          <w:trHeight w:val="1430"/>
        </w:trPr>
        <w:tc>
          <w:tcPr>
            <w:tcW w:w="450" w:type="dxa"/>
            <w:vMerge/>
            <w:tcBorders>
              <w:left w:val="single" w:sz="4" w:space="0" w:color="auto"/>
              <w:right w:val="single" w:sz="4" w:space="0" w:color="auto"/>
            </w:tcBorders>
            <w:shd w:val="clear" w:color="auto" w:fill="C6D9F1" w:themeFill="text2" w:themeFillTint="33"/>
          </w:tcPr>
          <w:p w14:paraId="7A5FF0FE" w14:textId="5B5817EB" w:rsidR="000242EE" w:rsidRPr="00E51E13" w:rsidRDefault="000242EE" w:rsidP="00F4613D">
            <w:pPr>
              <w:spacing w:after="0" w:line="240" w:lineRule="auto"/>
              <w:jc w:val="center"/>
              <w:rPr>
                <w:rFonts w:ascii="Calibri" w:eastAsia="Times New Roman" w:hAnsi="Calibri" w:cs="Times New Roman"/>
                <w:b/>
                <w:bCs/>
                <w:i/>
                <w:iCs/>
                <w:color w:val="000000"/>
                <w:sz w:val="20"/>
                <w:szCs w:val="20"/>
              </w:rPr>
            </w:pPr>
          </w:p>
        </w:tc>
        <w:tc>
          <w:tcPr>
            <w:tcW w:w="56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AD4C8A" w14:textId="0ECFBD8A" w:rsidR="000242EE" w:rsidRPr="00BF2498" w:rsidRDefault="000242EE" w:rsidP="00F4613D">
            <w:pPr>
              <w:spacing w:after="0" w:line="240" w:lineRule="auto"/>
              <w:rPr>
                <w:rFonts w:ascii="Calibri" w:eastAsia="Times New Roman" w:hAnsi="Calibri" w:cs="Times New Roman"/>
                <w:b/>
                <w:bCs/>
                <w:i/>
                <w:iCs/>
                <w:sz w:val="20"/>
                <w:szCs w:val="20"/>
              </w:rPr>
            </w:pPr>
            <w:r w:rsidRPr="00BF2498">
              <w:rPr>
                <w:rFonts w:ascii="Calibri" w:eastAsia="Times New Roman" w:hAnsi="Calibri" w:cs="Times New Roman"/>
                <w:b/>
                <w:bCs/>
                <w:i/>
                <w:iCs/>
                <w:sz w:val="20"/>
                <w:szCs w:val="20"/>
              </w:rPr>
              <w:t xml:space="preserve">Smart Grid Deployment / SB 17 (2009): </w:t>
            </w:r>
            <w:r w:rsidRPr="00BF2498">
              <w:rPr>
                <w:rFonts w:ascii="Calibri" w:eastAsia="Times New Roman" w:hAnsi="Calibri" w:cs="Times New Roman"/>
                <w:i/>
                <w:iCs/>
                <w:sz w:val="20"/>
                <w:szCs w:val="20"/>
              </w:rPr>
              <w:t>Requires utilities to develop Smart Grid Deployment plans.</w:t>
            </w:r>
          </w:p>
        </w:tc>
        <w:tc>
          <w:tcPr>
            <w:tcW w:w="3330" w:type="dxa"/>
            <w:tcBorders>
              <w:top w:val="single" w:sz="4" w:space="0" w:color="auto"/>
              <w:left w:val="nil"/>
              <w:bottom w:val="single" w:sz="4" w:space="0" w:color="auto"/>
              <w:right w:val="single" w:sz="4" w:space="0" w:color="auto"/>
            </w:tcBorders>
            <w:shd w:val="clear" w:color="auto" w:fill="auto"/>
            <w:vAlign w:val="center"/>
            <w:hideMark/>
          </w:tcPr>
          <w:p w14:paraId="0C5E252D" w14:textId="77777777" w:rsidR="000242EE" w:rsidRPr="00BF2498" w:rsidRDefault="000242EE" w:rsidP="00F4613D">
            <w:pPr>
              <w:spacing w:after="0" w:line="240" w:lineRule="auto"/>
              <w:rPr>
                <w:rFonts w:ascii="Calibri" w:eastAsia="Times New Roman" w:hAnsi="Calibri" w:cs="Times New Roman"/>
                <w:i/>
                <w:iCs/>
                <w:sz w:val="20"/>
                <w:szCs w:val="20"/>
              </w:rPr>
            </w:pPr>
            <w:r w:rsidRPr="00BF2498">
              <w:rPr>
                <w:rFonts w:ascii="Calibri" w:eastAsia="Times New Roman" w:hAnsi="Calibri" w:cs="Times New Roman"/>
                <w:i/>
                <w:iCs/>
                <w:sz w:val="20"/>
                <w:szCs w:val="20"/>
              </w:rPr>
              <w:t>Cost of development and maintenance of Smart Grid 5-year plan: $5.9 million over a three year period.</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14:paraId="12C4D710" w14:textId="3BECDF96" w:rsidR="000242EE" w:rsidRPr="00BF2498" w:rsidRDefault="000242EE" w:rsidP="00F4613D">
            <w:pPr>
              <w:spacing w:after="0" w:line="240" w:lineRule="auto"/>
              <w:jc w:val="center"/>
              <w:rPr>
                <w:rFonts w:ascii="Calibri" w:eastAsia="Times New Roman" w:hAnsi="Calibri" w:cs="Times New Roman"/>
                <w:color w:val="000000"/>
                <w:sz w:val="20"/>
                <w:szCs w:val="20"/>
              </w:rPr>
            </w:pPr>
            <w:r w:rsidRPr="00BF2498">
              <w:rPr>
                <w:rFonts w:ascii="Calibri" w:eastAsia="Times New Roman" w:hAnsi="Calibri" w:cs="Times New Roman"/>
                <w:color w:val="000000"/>
                <w:sz w:val="20"/>
                <w:szCs w:val="20"/>
              </w:rPr>
              <w:t>Minor  increase</w:t>
            </w:r>
          </w:p>
        </w:tc>
        <w:tc>
          <w:tcPr>
            <w:tcW w:w="3330" w:type="dxa"/>
            <w:tcBorders>
              <w:top w:val="single" w:sz="4" w:space="0" w:color="auto"/>
              <w:left w:val="nil"/>
              <w:bottom w:val="single" w:sz="4" w:space="0" w:color="auto"/>
              <w:right w:val="single" w:sz="4" w:space="0" w:color="auto"/>
            </w:tcBorders>
            <w:shd w:val="clear" w:color="auto" w:fill="auto"/>
            <w:vAlign w:val="center"/>
            <w:hideMark/>
          </w:tcPr>
          <w:p w14:paraId="247B3EA1" w14:textId="1278C95E" w:rsidR="000242EE" w:rsidRPr="00BF2498" w:rsidRDefault="000242EE" w:rsidP="00F4613D">
            <w:pPr>
              <w:spacing w:after="0" w:line="240" w:lineRule="auto"/>
              <w:rPr>
                <w:rFonts w:ascii="Calibri" w:eastAsia="Times New Roman" w:hAnsi="Calibri" w:cs="Times New Roman"/>
                <w:color w:val="000000"/>
                <w:sz w:val="20"/>
                <w:szCs w:val="20"/>
              </w:rPr>
            </w:pPr>
            <w:r w:rsidRPr="00BF2498">
              <w:rPr>
                <w:rFonts w:ascii="Calibri" w:eastAsia="Times New Roman" w:hAnsi="Calibri" w:cs="Times New Roman"/>
                <w:color w:val="000000"/>
                <w:sz w:val="20"/>
                <w:szCs w:val="20"/>
              </w:rPr>
              <w:t>Financial penalties not specified. Potential for civil suit for non-compliance. (Potentially could result in cost to implement and any damages attributed to noncompliance.)</w:t>
            </w:r>
          </w:p>
        </w:tc>
      </w:tr>
      <w:tr w:rsidR="000242EE" w:rsidRPr="00E51E13" w14:paraId="254B02FC" w14:textId="77777777" w:rsidTr="00ED39D7">
        <w:trPr>
          <w:trHeight w:val="1691"/>
        </w:trPr>
        <w:tc>
          <w:tcPr>
            <w:tcW w:w="450" w:type="dxa"/>
            <w:vMerge/>
            <w:tcBorders>
              <w:left w:val="single" w:sz="4" w:space="0" w:color="auto"/>
              <w:right w:val="single" w:sz="4" w:space="0" w:color="auto"/>
            </w:tcBorders>
            <w:shd w:val="clear" w:color="auto" w:fill="B8CCE4" w:themeFill="accent1" w:themeFillTint="66"/>
            <w:textDirection w:val="btLr"/>
          </w:tcPr>
          <w:p w14:paraId="73830124" w14:textId="2914E7A1" w:rsidR="000242EE" w:rsidRDefault="000242EE" w:rsidP="00F4613D">
            <w:pPr>
              <w:spacing w:after="0" w:line="240" w:lineRule="auto"/>
              <w:jc w:val="center"/>
              <w:rPr>
                <w:rFonts w:ascii="Calibri" w:eastAsia="Times New Roman" w:hAnsi="Calibri" w:cs="Times New Roman"/>
                <w:b/>
                <w:bCs/>
                <w:color w:val="000000"/>
              </w:rPr>
            </w:pPr>
          </w:p>
        </w:tc>
        <w:tc>
          <w:tcPr>
            <w:tcW w:w="5652" w:type="dxa"/>
            <w:tcBorders>
              <w:top w:val="single" w:sz="4" w:space="0" w:color="auto"/>
              <w:left w:val="single" w:sz="4" w:space="0" w:color="auto"/>
              <w:bottom w:val="single" w:sz="4" w:space="0" w:color="auto"/>
              <w:right w:val="single" w:sz="4" w:space="0" w:color="auto"/>
            </w:tcBorders>
            <w:shd w:val="clear" w:color="auto" w:fill="auto"/>
            <w:vAlign w:val="center"/>
          </w:tcPr>
          <w:p w14:paraId="03CFC8BA" w14:textId="0BF30DCE" w:rsidR="000242EE" w:rsidRPr="00D82179" w:rsidRDefault="000242EE" w:rsidP="00F4613D">
            <w:pPr>
              <w:spacing w:after="0" w:line="240" w:lineRule="auto"/>
              <w:rPr>
                <w:rFonts w:ascii="Calibri" w:eastAsia="Times New Roman" w:hAnsi="Calibri" w:cs="Times New Roman"/>
                <w:b/>
                <w:bCs/>
                <w:i/>
                <w:iCs/>
                <w:sz w:val="20"/>
                <w:szCs w:val="20"/>
              </w:rPr>
            </w:pPr>
            <w:r w:rsidRPr="00D82179">
              <w:rPr>
                <w:rFonts w:ascii="Calibri" w:eastAsia="Times New Roman" w:hAnsi="Calibri" w:cs="Times New Roman"/>
                <w:b/>
                <w:bCs/>
                <w:i/>
                <w:iCs/>
                <w:sz w:val="20"/>
                <w:szCs w:val="20"/>
              </w:rPr>
              <w:t xml:space="preserve">Resource Adequacy / AB 380 (2005): </w:t>
            </w:r>
            <w:r w:rsidRPr="00D82179">
              <w:rPr>
                <w:rFonts w:ascii="Calibri" w:eastAsia="Times New Roman" w:hAnsi="Calibri" w:cs="Times New Roman"/>
                <w:i/>
                <w:iCs/>
                <w:sz w:val="20"/>
                <w:szCs w:val="20"/>
              </w:rPr>
              <w:t>Requires utilities to meet minimum regional electricity planning reserve and reliability requirements by procuring a specified amount of generating capacity within the local area</w:t>
            </w:r>
            <w:r>
              <w:rPr>
                <w:rFonts w:ascii="Calibri" w:eastAsia="Times New Roman" w:hAnsi="Calibri" w:cs="Times New Roman"/>
                <w:i/>
                <w:iCs/>
                <w:sz w:val="20"/>
                <w:szCs w:val="20"/>
              </w:rPr>
              <w:t>.</w:t>
            </w:r>
          </w:p>
        </w:tc>
        <w:tc>
          <w:tcPr>
            <w:tcW w:w="3330" w:type="dxa"/>
            <w:tcBorders>
              <w:top w:val="single" w:sz="4" w:space="0" w:color="auto"/>
              <w:left w:val="nil"/>
              <w:bottom w:val="single" w:sz="4" w:space="0" w:color="auto"/>
              <w:right w:val="single" w:sz="4" w:space="0" w:color="auto"/>
            </w:tcBorders>
            <w:shd w:val="clear" w:color="auto" w:fill="auto"/>
            <w:vAlign w:val="center"/>
          </w:tcPr>
          <w:p w14:paraId="55544AC8" w14:textId="0665550E" w:rsidR="000242EE" w:rsidRPr="00D82179" w:rsidRDefault="000242EE" w:rsidP="00F4613D">
            <w:pPr>
              <w:spacing w:after="0" w:line="240" w:lineRule="auto"/>
              <w:rPr>
                <w:rFonts w:ascii="Calibri" w:eastAsia="Times New Roman" w:hAnsi="Calibri" w:cs="Times New Roman"/>
                <w:i/>
                <w:iCs/>
                <w:sz w:val="20"/>
                <w:szCs w:val="20"/>
              </w:rPr>
            </w:pPr>
            <w:r w:rsidRPr="00D82179">
              <w:rPr>
                <w:rFonts w:ascii="Calibri" w:eastAsia="Times New Roman" w:hAnsi="Calibri" w:cs="Times New Roman"/>
                <w:i/>
                <w:iCs/>
                <w:sz w:val="20"/>
                <w:szCs w:val="20"/>
              </w:rPr>
              <w:t>Annual costs for purchase of local generating capacity to meet requirements: $11 million</w:t>
            </w:r>
            <w:r>
              <w:rPr>
                <w:rFonts w:ascii="Calibri" w:eastAsia="Times New Roman" w:hAnsi="Calibri" w:cs="Times New Roman"/>
                <w:i/>
                <w:iCs/>
                <w:sz w:val="20"/>
                <w:szCs w:val="20"/>
              </w:rPr>
              <w:t xml:space="preserve"> initially</w:t>
            </w:r>
            <w:r w:rsidRPr="00D82179">
              <w:rPr>
                <w:rFonts w:ascii="Calibri" w:eastAsia="Times New Roman" w:hAnsi="Calibri" w:cs="Times New Roman"/>
                <w:i/>
                <w:iCs/>
                <w:sz w:val="20"/>
                <w:szCs w:val="20"/>
              </w:rPr>
              <w:t xml:space="preserve">, decreased to $3 million with the completion of the Canyon Power </w:t>
            </w:r>
            <w:r w:rsidRPr="003A26EE">
              <w:rPr>
                <w:rFonts w:ascii="Calibri" w:eastAsia="Times New Roman" w:hAnsi="Calibri" w:cs="Times New Roman"/>
                <w:i/>
                <w:iCs/>
                <w:sz w:val="20"/>
                <w:szCs w:val="20"/>
              </w:rPr>
              <w:t>Plant, and further decreased to $1.5 million annually with completion of the Brea Landfill project.</w:t>
            </w:r>
          </w:p>
        </w:tc>
        <w:tc>
          <w:tcPr>
            <w:tcW w:w="1710" w:type="dxa"/>
            <w:tcBorders>
              <w:top w:val="single" w:sz="4" w:space="0" w:color="auto"/>
              <w:left w:val="nil"/>
              <w:bottom w:val="single" w:sz="4" w:space="0" w:color="auto"/>
              <w:right w:val="single" w:sz="4" w:space="0" w:color="auto"/>
            </w:tcBorders>
            <w:shd w:val="clear" w:color="auto" w:fill="auto"/>
            <w:vAlign w:val="center"/>
          </w:tcPr>
          <w:p w14:paraId="1DC5B1E0" w14:textId="787CBCEB" w:rsidR="000242EE" w:rsidRPr="00E51E13" w:rsidRDefault="000242EE" w:rsidP="00F4613D">
            <w:pPr>
              <w:spacing w:after="0" w:line="240" w:lineRule="auto"/>
              <w:jc w:val="center"/>
              <w:rPr>
                <w:rFonts w:ascii="Calibri" w:eastAsia="Times New Roman" w:hAnsi="Calibri" w:cs="Times New Roman"/>
                <w:sz w:val="20"/>
                <w:szCs w:val="20"/>
              </w:rPr>
            </w:pPr>
            <w:r w:rsidRPr="00E51E13">
              <w:rPr>
                <w:rFonts w:ascii="Calibri" w:eastAsia="Times New Roman" w:hAnsi="Calibri" w:cs="Times New Roman"/>
                <w:color w:val="000000"/>
                <w:sz w:val="20"/>
                <w:szCs w:val="20"/>
              </w:rPr>
              <w:t>3% increase</w:t>
            </w:r>
          </w:p>
        </w:tc>
        <w:tc>
          <w:tcPr>
            <w:tcW w:w="3330" w:type="dxa"/>
            <w:tcBorders>
              <w:top w:val="single" w:sz="4" w:space="0" w:color="auto"/>
              <w:left w:val="nil"/>
              <w:bottom w:val="single" w:sz="4" w:space="0" w:color="auto"/>
              <w:right w:val="single" w:sz="4" w:space="0" w:color="auto"/>
            </w:tcBorders>
            <w:shd w:val="clear" w:color="auto" w:fill="auto"/>
            <w:vAlign w:val="center"/>
          </w:tcPr>
          <w:p w14:paraId="4445A256" w14:textId="64688478" w:rsidR="000242EE" w:rsidRDefault="000242EE" w:rsidP="00F4613D">
            <w:pPr>
              <w:spacing w:after="0" w:line="240" w:lineRule="auto"/>
            </w:pPr>
            <w:r w:rsidRPr="00E51E13">
              <w:rPr>
                <w:rFonts w:ascii="Calibri" w:eastAsia="Times New Roman" w:hAnsi="Calibri" w:cs="Times New Roman"/>
                <w:color w:val="000000"/>
                <w:sz w:val="20"/>
                <w:szCs w:val="20"/>
              </w:rPr>
              <w:t>Financial penalties not specified. Potential for civil suit for non-compliance. (Potentially could result in cost to implement and any damages attributed to noncompliance.)</w:t>
            </w:r>
          </w:p>
        </w:tc>
      </w:tr>
      <w:tr w:rsidR="000242EE" w:rsidRPr="00647AE6" w14:paraId="3543BCF4" w14:textId="77777777" w:rsidTr="00ED39D7">
        <w:trPr>
          <w:trHeight w:val="1691"/>
        </w:trPr>
        <w:tc>
          <w:tcPr>
            <w:tcW w:w="450" w:type="dxa"/>
            <w:vMerge/>
            <w:tcBorders>
              <w:left w:val="single" w:sz="4" w:space="0" w:color="auto"/>
              <w:right w:val="single" w:sz="4" w:space="0" w:color="auto"/>
            </w:tcBorders>
            <w:shd w:val="clear" w:color="auto" w:fill="B8CCE4" w:themeFill="accent1" w:themeFillTint="66"/>
            <w:textDirection w:val="btLr"/>
          </w:tcPr>
          <w:p w14:paraId="49128B54" w14:textId="63556DA6" w:rsidR="000242EE" w:rsidRPr="00647AE6" w:rsidRDefault="000242EE" w:rsidP="00F4613D">
            <w:pPr>
              <w:spacing w:after="0" w:line="240" w:lineRule="auto"/>
              <w:jc w:val="center"/>
              <w:rPr>
                <w:rFonts w:ascii="Calibri" w:eastAsia="Times New Roman" w:hAnsi="Calibri" w:cs="Times New Roman"/>
                <w:b/>
                <w:bCs/>
              </w:rPr>
            </w:pPr>
          </w:p>
        </w:tc>
        <w:tc>
          <w:tcPr>
            <w:tcW w:w="5652" w:type="dxa"/>
            <w:tcBorders>
              <w:top w:val="single" w:sz="4" w:space="0" w:color="auto"/>
              <w:left w:val="single" w:sz="4" w:space="0" w:color="auto"/>
              <w:bottom w:val="single" w:sz="4" w:space="0" w:color="auto"/>
              <w:right w:val="single" w:sz="4" w:space="0" w:color="auto"/>
            </w:tcBorders>
            <w:shd w:val="clear" w:color="auto" w:fill="auto"/>
            <w:vAlign w:val="center"/>
          </w:tcPr>
          <w:p w14:paraId="6777F007" w14:textId="77777777" w:rsidR="000242EE" w:rsidRPr="00647AE6" w:rsidRDefault="000242EE" w:rsidP="00F4613D">
            <w:pPr>
              <w:spacing w:after="0" w:line="240" w:lineRule="auto"/>
              <w:rPr>
                <w:rFonts w:ascii="Calibri" w:eastAsia="Times New Roman" w:hAnsi="Calibri" w:cs="Times New Roman"/>
                <w:b/>
                <w:bCs/>
                <w:i/>
                <w:iCs/>
                <w:sz w:val="20"/>
                <w:szCs w:val="20"/>
              </w:rPr>
            </w:pPr>
            <w:r w:rsidRPr="00647AE6">
              <w:rPr>
                <w:rFonts w:ascii="Calibri" w:eastAsia="Times New Roman" w:hAnsi="Calibri" w:cs="Times New Roman"/>
                <w:b/>
                <w:bCs/>
                <w:i/>
                <w:iCs/>
                <w:sz w:val="20"/>
                <w:szCs w:val="20"/>
              </w:rPr>
              <w:t>Reliability Requirements / Energy Policy Act of 2005:</w:t>
            </w:r>
            <w:r w:rsidRPr="00647AE6">
              <w:rPr>
                <w:rFonts w:ascii="Calibri" w:eastAsia="Times New Roman" w:hAnsi="Calibri" w:cs="Times New Roman"/>
                <w:i/>
                <w:iCs/>
                <w:sz w:val="20"/>
                <w:szCs w:val="20"/>
              </w:rPr>
              <w:t xml:space="preserve"> Establishes federal mandatory electric reliability standards.</w:t>
            </w:r>
          </w:p>
        </w:tc>
        <w:tc>
          <w:tcPr>
            <w:tcW w:w="3330" w:type="dxa"/>
            <w:tcBorders>
              <w:top w:val="single" w:sz="4" w:space="0" w:color="auto"/>
              <w:left w:val="nil"/>
              <w:bottom w:val="single" w:sz="4" w:space="0" w:color="auto"/>
              <w:right w:val="single" w:sz="4" w:space="0" w:color="auto"/>
            </w:tcBorders>
            <w:shd w:val="clear" w:color="auto" w:fill="auto"/>
            <w:vAlign w:val="center"/>
          </w:tcPr>
          <w:p w14:paraId="7F402690" w14:textId="77777777" w:rsidR="000242EE" w:rsidRPr="00647AE6" w:rsidRDefault="000242EE" w:rsidP="00F4613D">
            <w:pPr>
              <w:spacing w:after="0" w:line="240" w:lineRule="auto"/>
              <w:rPr>
                <w:rFonts w:ascii="Calibri" w:eastAsia="Times New Roman" w:hAnsi="Calibri" w:cs="Times New Roman"/>
                <w:i/>
                <w:iCs/>
                <w:sz w:val="20"/>
                <w:szCs w:val="20"/>
              </w:rPr>
            </w:pPr>
            <w:r w:rsidRPr="00647AE6">
              <w:rPr>
                <w:rFonts w:ascii="Calibri" w:eastAsia="Times New Roman" w:hAnsi="Calibri" w:cs="Times New Roman"/>
                <w:i/>
                <w:iCs/>
                <w:sz w:val="20"/>
                <w:szCs w:val="20"/>
              </w:rPr>
              <w:t xml:space="preserve">Development of the Department's Internal Compliance Program: $350,000. </w:t>
            </w:r>
          </w:p>
          <w:p w14:paraId="5B146356" w14:textId="77777777" w:rsidR="000242EE" w:rsidRPr="00647AE6" w:rsidRDefault="000242EE" w:rsidP="00F4613D">
            <w:pPr>
              <w:spacing w:after="0" w:line="240" w:lineRule="auto"/>
              <w:rPr>
                <w:rFonts w:ascii="Calibri" w:eastAsia="Times New Roman" w:hAnsi="Calibri" w:cs="Times New Roman"/>
                <w:i/>
                <w:iCs/>
                <w:sz w:val="8"/>
                <w:szCs w:val="8"/>
              </w:rPr>
            </w:pPr>
          </w:p>
          <w:p w14:paraId="3833D25A" w14:textId="77777777" w:rsidR="000242EE" w:rsidRPr="00647AE6" w:rsidRDefault="000242EE" w:rsidP="00F4613D">
            <w:pPr>
              <w:spacing w:after="0" w:line="240" w:lineRule="auto"/>
              <w:rPr>
                <w:rFonts w:ascii="Calibri" w:eastAsia="Times New Roman" w:hAnsi="Calibri" w:cs="Times New Roman"/>
                <w:i/>
                <w:iCs/>
                <w:sz w:val="20"/>
                <w:szCs w:val="20"/>
              </w:rPr>
            </w:pPr>
            <w:r w:rsidRPr="00647AE6">
              <w:rPr>
                <w:rFonts w:ascii="Calibri" w:eastAsia="Times New Roman" w:hAnsi="Calibri" w:cs="Times New Roman"/>
                <w:i/>
                <w:iCs/>
                <w:sz w:val="20"/>
                <w:szCs w:val="20"/>
              </w:rPr>
              <w:t>Annual costs for implementation and bi-annual filings (January and July): $150,000.</w:t>
            </w:r>
          </w:p>
        </w:tc>
        <w:tc>
          <w:tcPr>
            <w:tcW w:w="1710" w:type="dxa"/>
            <w:tcBorders>
              <w:top w:val="single" w:sz="4" w:space="0" w:color="auto"/>
              <w:left w:val="nil"/>
              <w:bottom w:val="single" w:sz="4" w:space="0" w:color="auto"/>
              <w:right w:val="single" w:sz="4" w:space="0" w:color="auto"/>
            </w:tcBorders>
            <w:shd w:val="clear" w:color="auto" w:fill="auto"/>
            <w:vAlign w:val="center"/>
          </w:tcPr>
          <w:p w14:paraId="3719A70E" w14:textId="77777777" w:rsidR="000242EE" w:rsidRPr="00647AE6" w:rsidRDefault="000242EE" w:rsidP="00F4613D">
            <w:pPr>
              <w:spacing w:after="0" w:line="240" w:lineRule="auto"/>
              <w:jc w:val="center"/>
              <w:rPr>
                <w:rFonts w:ascii="Calibri" w:eastAsia="Times New Roman" w:hAnsi="Calibri" w:cs="Times New Roman"/>
                <w:sz w:val="20"/>
                <w:szCs w:val="20"/>
              </w:rPr>
            </w:pPr>
            <w:r w:rsidRPr="00647AE6">
              <w:rPr>
                <w:rFonts w:ascii="Calibri" w:eastAsia="Times New Roman" w:hAnsi="Calibri" w:cs="Times New Roman"/>
                <w:sz w:val="20"/>
                <w:szCs w:val="20"/>
              </w:rPr>
              <w:t>0.05% increase</w:t>
            </w:r>
          </w:p>
        </w:tc>
        <w:tc>
          <w:tcPr>
            <w:tcW w:w="3330" w:type="dxa"/>
            <w:tcBorders>
              <w:top w:val="single" w:sz="4" w:space="0" w:color="auto"/>
              <w:left w:val="nil"/>
              <w:bottom w:val="single" w:sz="4" w:space="0" w:color="auto"/>
              <w:right w:val="single" w:sz="4" w:space="0" w:color="auto"/>
            </w:tcBorders>
            <w:shd w:val="clear" w:color="auto" w:fill="auto"/>
            <w:vAlign w:val="center"/>
          </w:tcPr>
          <w:p w14:paraId="6E2A8E30" w14:textId="77777777" w:rsidR="000242EE" w:rsidRPr="00647AE6" w:rsidRDefault="000242EE" w:rsidP="00F4613D">
            <w:pPr>
              <w:spacing w:after="0" w:line="240" w:lineRule="auto"/>
              <w:rPr>
                <w:rFonts w:ascii="Calibri" w:eastAsia="Times New Roman" w:hAnsi="Calibri" w:cs="Times New Roman"/>
                <w:b/>
                <w:bCs/>
                <w:sz w:val="18"/>
                <w:szCs w:val="18"/>
              </w:rPr>
            </w:pPr>
            <w:r w:rsidRPr="00647AE6">
              <w:br w:type="page"/>
            </w:r>
            <w:r w:rsidRPr="00647AE6">
              <w:br w:type="page"/>
            </w:r>
          </w:p>
          <w:p w14:paraId="719DB9ED" w14:textId="6913540F" w:rsidR="000242EE" w:rsidRPr="00647AE6" w:rsidRDefault="000242EE" w:rsidP="00F4613D">
            <w:pPr>
              <w:spacing w:after="0" w:line="240" w:lineRule="auto"/>
              <w:rPr>
                <w:rFonts w:ascii="Calibri" w:eastAsia="Times New Roman" w:hAnsi="Calibri" w:cs="Times New Roman"/>
                <w:sz w:val="20"/>
                <w:szCs w:val="20"/>
              </w:rPr>
            </w:pPr>
            <w:r w:rsidRPr="00647AE6">
              <w:rPr>
                <w:rFonts w:ascii="Calibri" w:eastAsia="Times New Roman" w:hAnsi="Calibri" w:cs="Times New Roman"/>
                <w:b/>
                <w:bCs/>
                <w:sz w:val="18"/>
                <w:szCs w:val="18"/>
              </w:rPr>
              <w:t xml:space="preserve"> </w:t>
            </w:r>
          </w:p>
        </w:tc>
      </w:tr>
    </w:tbl>
    <w:p w14:paraId="7E8AE21C" w14:textId="77777777" w:rsidR="0067642A" w:rsidRPr="00647AE6" w:rsidRDefault="0067642A">
      <w:r w:rsidRPr="00647AE6">
        <w:br w:type="page"/>
      </w:r>
    </w:p>
    <w:tbl>
      <w:tblPr>
        <w:tblW w:w="14472" w:type="dxa"/>
        <w:tblInd w:w="-162" w:type="dxa"/>
        <w:tblLayout w:type="fixed"/>
        <w:tblLook w:val="04A0" w:firstRow="1" w:lastRow="0" w:firstColumn="1" w:lastColumn="0" w:noHBand="0" w:noVBand="1"/>
      </w:tblPr>
      <w:tblGrid>
        <w:gridCol w:w="450"/>
        <w:gridCol w:w="5652"/>
        <w:gridCol w:w="3420"/>
        <w:gridCol w:w="1620"/>
        <w:gridCol w:w="3330"/>
      </w:tblGrid>
      <w:tr w:rsidR="000242EE" w:rsidRPr="00E51E13" w14:paraId="3F63E47E" w14:textId="77777777" w:rsidTr="00ED39D7">
        <w:trPr>
          <w:trHeight w:val="350"/>
        </w:trPr>
        <w:tc>
          <w:tcPr>
            <w:tcW w:w="6102" w:type="dxa"/>
            <w:gridSpan w:val="2"/>
            <w:tcBorders>
              <w:right w:val="single" w:sz="4" w:space="0" w:color="auto"/>
            </w:tcBorders>
            <w:shd w:val="clear" w:color="auto" w:fill="auto"/>
            <w:textDirection w:val="btLr"/>
            <w:vAlign w:val="center"/>
          </w:tcPr>
          <w:p w14:paraId="22A5C92A" w14:textId="2A78FCE7" w:rsidR="000242EE" w:rsidRPr="00E51E13" w:rsidRDefault="000242EE" w:rsidP="0067642A">
            <w:pPr>
              <w:spacing w:after="0" w:line="240" w:lineRule="auto"/>
              <w:jc w:val="center"/>
              <w:rPr>
                <w:rFonts w:ascii="Calibri" w:eastAsia="Times New Roman" w:hAnsi="Calibri" w:cs="Times New Roman"/>
                <w:b/>
                <w:bCs/>
                <w:color w:val="000000"/>
                <w:sz w:val="18"/>
                <w:szCs w:val="18"/>
              </w:rPr>
            </w:pPr>
          </w:p>
        </w:tc>
        <w:tc>
          <w:tcPr>
            <w:tcW w:w="3420"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4D23254D" w14:textId="77777777" w:rsidR="000242EE" w:rsidRPr="00E51E13" w:rsidRDefault="000242EE" w:rsidP="0067642A">
            <w:pPr>
              <w:spacing w:after="0" w:line="240" w:lineRule="auto"/>
              <w:jc w:val="center"/>
              <w:rPr>
                <w:rFonts w:ascii="Calibri" w:eastAsia="Times New Roman" w:hAnsi="Calibri" w:cs="Times New Roman"/>
                <w:b/>
                <w:bCs/>
                <w:color w:val="000000"/>
              </w:rPr>
            </w:pPr>
            <w:r w:rsidRPr="00E51E13">
              <w:rPr>
                <w:rFonts w:ascii="Calibri" w:eastAsia="Times New Roman" w:hAnsi="Calibri" w:cs="Times New Roman"/>
                <w:b/>
                <w:bCs/>
                <w:color w:val="000000"/>
              </w:rPr>
              <w:t>Estimated Cost of Implementation</w:t>
            </w:r>
          </w:p>
        </w:tc>
        <w:tc>
          <w:tcPr>
            <w:tcW w:w="1620" w:type="dxa"/>
            <w:tcBorders>
              <w:top w:val="single" w:sz="4" w:space="0" w:color="auto"/>
              <w:left w:val="nil"/>
              <w:bottom w:val="single" w:sz="4" w:space="0" w:color="auto"/>
              <w:right w:val="single" w:sz="4" w:space="0" w:color="auto"/>
            </w:tcBorders>
            <w:shd w:val="clear" w:color="auto" w:fill="E5DFEC" w:themeFill="accent4" w:themeFillTint="33"/>
            <w:vAlign w:val="center"/>
          </w:tcPr>
          <w:p w14:paraId="585ADB08" w14:textId="77777777" w:rsidR="000242EE" w:rsidRPr="00E51E13" w:rsidRDefault="000242EE" w:rsidP="0067642A">
            <w:pPr>
              <w:spacing w:after="0" w:line="240" w:lineRule="auto"/>
              <w:jc w:val="center"/>
              <w:rPr>
                <w:rFonts w:ascii="Calibri" w:eastAsia="Times New Roman" w:hAnsi="Calibri" w:cs="Times New Roman"/>
                <w:b/>
                <w:bCs/>
                <w:color w:val="000000"/>
              </w:rPr>
            </w:pPr>
            <w:r w:rsidRPr="00E51E13">
              <w:rPr>
                <w:rFonts w:ascii="Calibri" w:eastAsia="Times New Roman" w:hAnsi="Calibri" w:cs="Times New Roman"/>
                <w:b/>
                <w:bCs/>
                <w:color w:val="000000"/>
              </w:rPr>
              <w:t>Estimated Rate Impact</w:t>
            </w:r>
          </w:p>
        </w:tc>
        <w:tc>
          <w:tcPr>
            <w:tcW w:w="3330" w:type="dxa"/>
            <w:tcBorders>
              <w:top w:val="single" w:sz="4" w:space="0" w:color="auto"/>
              <w:left w:val="nil"/>
              <w:bottom w:val="single" w:sz="4" w:space="0" w:color="auto"/>
              <w:right w:val="single" w:sz="4" w:space="0" w:color="auto"/>
            </w:tcBorders>
            <w:shd w:val="clear" w:color="auto" w:fill="DAEEF3" w:themeFill="accent5" w:themeFillTint="33"/>
            <w:vAlign w:val="center"/>
          </w:tcPr>
          <w:p w14:paraId="30919680" w14:textId="77777777" w:rsidR="000242EE" w:rsidRPr="00E51E13" w:rsidRDefault="000242EE" w:rsidP="0067642A">
            <w:pPr>
              <w:spacing w:after="0" w:line="240" w:lineRule="auto"/>
              <w:jc w:val="center"/>
              <w:rPr>
                <w:rFonts w:ascii="Calibri" w:eastAsia="Times New Roman" w:hAnsi="Calibri" w:cs="Times New Roman"/>
                <w:b/>
                <w:bCs/>
                <w:color w:val="000000"/>
              </w:rPr>
            </w:pPr>
            <w:r w:rsidRPr="00E51E13">
              <w:rPr>
                <w:rFonts w:ascii="Calibri" w:eastAsia="Times New Roman" w:hAnsi="Calibri" w:cs="Times New Roman"/>
                <w:b/>
                <w:bCs/>
                <w:color w:val="000000"/>
              </w:rPr>
              <w:t xml:space="preserve">Penalties / Other  Potential                                  </w:t>
            </w:r>
            <w:r w:rsidRPr="007856D6">
              <w:rPr>
                <w:rFonts w:ascii="Calibri" w:eastAsia="Times New Roman" w:hAnsi="Calibri" w:cs="Times New Roman"/>
                <w:b/>
                <w:bCs/>
                <w:color w:val="000000"/>
                <w:shd w:val="clear" w:color="auto" w:fill="DAEEF3" w:themeFill="accent5" w:themeFillTint="33"/>
              </w:rPr>
              <w:t>C</w:t>
            </w:r>
            <w:r w:rsidRPr="00E51E13">
              <w:rPr>
                <w:rFonts w:ascii="Calibri" w:eastAsia="Times New Roman" w:hAnsi="Calibri" w:cs="Times New Roman"/>
                <w:b/>
                <w:bCs/>
                <w:color w:val="000000"/>
              </w:rPr>
              <w:t>ost Impacts</w:t>
            </w:r>
          </w:p>
        </w:tc>
      </w:tr>
      <w:tr w:rsidR="000242EE" w:rsidRPr="00E51E13" w14:paraId="643E5A7A" w14:textId="77777777" w:rsidTr="00ED39D7">
        <w:trPr>
          <w:trHeight w:val="2519"/>
        </w:trPr>
        <w:tc>
          <w:tcPr>
            <w:tcW w:w="450" w:type="dxa"/>
            <w:tcBorders>
              <w:top w:val="single" w:sz="4" w:space="0" w:color="auto"/>
              <w:left w:val="single" w:sz="4" w:space="0" w:color="auto"/>
              <w:bottom w:val="single" w:sz="4" w:space="0" w:color="auto"/>
              <w:right w:val="single" w:sz="4" w:space="0" w:color="auto"/>
            </w:tcBorders>
            <w:shd w:val="clear" w:color="auto" w:fill="DDD9C3" w:themeFill="background2" w:themeFillShade="E6"/>
            <w:textDirection w:val="btLr"/>
          </w:tcPr>
          <w:p w14:paraId="76419022" w14:textId="77777777" w:rsidR="000242EE" w:rsidRPr="005924EC" w:rsidRDefault="000242EE" w:rsidP="0067642A">
            <w:pPr>
              <w:spacing w:after="0" w:line="240" w:lineRule="auto"/>
              <w:jc w:val="center"/>
              <w:rPr>
                <w:rFonts w:ascii="Calibri" w:eastAsia="Times New Roman" w:hAnsi="Calibri" w:cs="Times New Roman"/>
                <w:b/>
                <w:bCs/>
                <w:color w:val="000000"/>
              </w:rPr>
            </w:pPr>
            <w:r w:rsidRPr="005924EC">
              <w:rPr>
                <w:rFonts w:ascii="Calibri" w:eastAsia="Times New Roman" w:hAnsi="Calibri" w:cs="Times New Roman"/>
                <w:b/>
                <w:bCs/>
                <w:color w:val="000000"/>
              </w:rPr>
              <w:t>Electric Industry Restructuring</w:t>
            </w:r>
          </w:p>
        </w:tc>
        <w:tc>
          <w:tcPr>
            <w:tcW w:w="5652" w:type="dxa"/>
            <w:tcBorders>
              <w:top w:val="single" w:sz="4" w:space="0" w:color="auto"/>
              <w:left w:val="single" w:sz="4" w:space="0" w:color="auto"/>
              <w:bottom w:val="single" w:sz="4" w:space="0" w:color="auto"/>
              <w:right w:val="single" w:sz="4" w:space="0" w:color="auto"/>
            </w:tcBorders>
            <w:shd w:val="clear" w:color="auto" w:fill="auto"/>
            <w:vAlign w:val="center"/>
          </w:tcPr>
          <w:p w14:paraId="4C436ACD" w14:textId="77777777" w:rsidR="000242EE" w:rsidRPr="00BF2498" w:rsidRDefault="000242EE" w:rsidP="0067642A">
            <w:pPr>
              <w:spacing w:after="0" w:line="240" w:lineRule="auto"/>
              <w:rPr>
                <w:rFonts w:ascii="Calibri" w:eastAsia="Times New Roman" w:hAnsi="Calibri" w:cs="Times New Roman"/>
                <w:b/>
                <w:bCs/>
                <w:i/>
                <w:iCs/>
                <w:color w:val="000000"/>
                <w:sz w:val="20"/>
                <w:szCs w:val="20"/>
              </w:rPr>
            </w:pPr>
            <w:r w:rsidRPr="00BF2498">
              <w:rPr>
                <w:rFonts w:ascii="Calibri" w:eastAsia="Times New Roman" w:hAnsi="Calibri" w:cs="Times New Roman"/>
                <w:b/>
                <w:bCs/>
                <w:i/>
                <w:iCs/>
                <w:color w:val="000000"/>
                <w:sz w:val="20"/>
                <w:szCs w:val="20"/>
              </w:rPr>
              <w:t xml:space="preserve">The Electric Utility Industry Restructuring Act / AB 1890 (1996): </w:t>
            </w:r>
            <w:r w:rsidRPr="00BF2498">
              <w:rPr>
                <w:rFonts w:ascii="Calibri" w:eastAsia="Times New Roman" w:hAnsi="Calibri" w:cs="Times New Roman"/>
                <w:i/>
                <w:iCs/>
                <w:color w:val="000000"/>
                <w:sz w:val="20"/>
                <w:szCs w:val="20"/>
              </w:rPr>
              <w:t>Establishes Public Benefit Fund (PBF) program for funding of public interest programs.</w:t>
            </w:r>
          </w:p>
        </w:tc>
        <w:tc>
          <w:tcPr>
            <w:tcW w:w="3420" w:type="dxa"/>
            <w:tcBorders>
              <w:top w:val="single" w:sz="4" w:space="0" w:color="auto"/>
              <w:left w:val="nil"/>
              <w:bottom w:val="single" w:sz="4" w:space="0" w:color="auto"/>
              <w:right w:val="single" w:sz="4" w:space="0" w:color="auto"/>
            </w:tcBorders>
            <w:shd w:val="clear" w:color="auto" w:fill="auto"/>
            <w:vAlign w:val="center"/>
          </w:tcPr>
          <w:p w14:paraId="51651D74" w14:textId="551C05AE" w:rsidR="000242EE" w:rsidRPr="00BF2498" w:rsidRDefault="000242EE" w:rsidP="0067642A">
            <w:pPr>
              <w:spacing w:after="0" w:line="240" w:lineRule="auto"/>
              <w:rPr>
                <w:rFonts w:ascii="Calibri" w:eastAsia="Times New Roman" w:hAnsi="Calibri" w:cs="Times New Roman"/>
                <w:i/>
                <w:iCs/>
                <w:color w:val="000000"/>
                <w:sz w:val="20"/>
                <w:szCs w:val="20"/>
              </w:rPr>
            </w:pPr>
            <w:r w:rsidRPr="00BF2498">
              <w:rPr>
                <w:rFonts w:ascii="Calibri" w:eastAsia="Times New Roman" w:hAnsi="Calibri" w:cs="Times New Roman"/>
                <w:i/>
                <w:iCs/>
                <w:color w:val="000000"/>
                <w:sz w:val="20"/>
                <w:szCs w:val="20"/>
              </w:rPr>
              <w:t>Public Benefits Funds (PBF) include funds for renewable resources, low-income assistance, research and development and energy efficiency. PBF are equal to 2.85% of net operating revenue or approximately $7.5 million annually.   No PBF is allowed to support Renewable Portfolio Standard Activities (SB 1078 and SB 107) or Solar Incentives (SB1).</w:t>
            </w:r>
          </w:p>
        </w:tc>
        <w:tc>
          <w:tcPr>
            <w:tcW w:w="1620" w:type="dxa"/>
            <w:tcBorders>
              <w:top w:val="single" w:sz="4" w:space="0" w:color="auto"/>
              <w:left w:val="nil"/>
              <w:bottom w:val="single" w:sz="4" w:space="0" w:color="auto"/>
              <w:right w:val="single" w:sz="4" w:space="0" w:color="auto"/>
            </w:tcBorders>
            <w:shd w:val="clear" w:color="auto" w:fill="auto"/>
            <w:vAlign w:val="center"/>
          </w:tcPr>
          <w:p w14:paraId="2F27C2F5" w14:textId="77777777" w:rsidR="000242EE" w:rsidRPr="00BF2498" w:rsidRDefault="000242EE" w:rsidP="0067642A">
            <w:pPr>
              <w:spacing w:after="0" w:line="240" w:lineRule="auto"/>
              <w:jc w:val="center"/>
              <w:rPr>
                <w:rFonts w:ascii="Calibri" w:eastAsia="Times New Roman" w:hAnsi="Calibri" w:cs="Times New Roman"/>
                <w:color w:val="000000"/>
                <w:sz w:val="20"/>
                <w:szCs w:val="20"/>
              </w:rPr>
            </w:pPr>
            <w:r w:rsidRPr="00BF2498">
              <w:rPr>
                <w:rFonts w:ascii="Calibri" w:eastAsia="Times New Roman" w:hAnsi="Calibri" w:cs="Times New Roman"/>
                <w:color w:val="000000"/>
                <w:sz w:val="20"/>
                <w:szCs w:val="20"/>
              </w:rPr>
              <w:t>2.85% increase</w:t>
            </w:r>
          </w:p>
        </w:tc>
        <w:tc>
          <w:tcPr>
            <w:tcW w:w="3330" w:type="dxa"/>
            <w:tcBorders>
              <w:top w:val="single" w:sz="4" w:space="0" w:color="auto"/>
              <w:left w:val="nil"/>
              <w:bottom w:val="single" w:sz="4" w:space="0" w:color="auto"/>
              <w:right w:val="single" w:sz="4" w:space="0" w:color="auto"/>
            </w:tcBorders>
            <w:shd w:val="clear" w:color="auto" w:fill="auto"/>
            <w:vAlign w:val="center"/>
          </w:tcPr>
          <w:p w14:paraId="236F0659" w14:textId="77777777" w:rsidR="000242EE" w:rsidRPr="00BF2498" w:rsidRDefault="000242EE" w:rsidP="0067642A">
            <w:pPr>
              <w:spacing w:after="0" w:line="240" w:lineRule="auto"/>
              <w:rPr>
                <w:rFonts w:ascii="Calibri" w:eastAsia="Times New Roman" w:hAnsi="Calibri" w:cs="Times New Roman"/>
                <w:color w:val="000000"/>
                <w:sz w:val="20"/>
                <w:szCs w:val="20"/>
              </w:rPr>
            </w:pPr>
            <w:r w:rsidRPr="00BF2498">
              <w:rPr>
                <w:rFonts w:ascii="Calibri" w:eastAsia="Times New Roman" w:hAnsi="Calibri" w:cs="Times New Roman"/>
                <w:color w:val="000000"/>
                <w:sz w:val="20"/>
                <w:szCs w:val="20"/>
              </w:rPr>
              <w:t>Financial penalties not specified. Potential for civil suit for non-compliance. (Potentially could result in cost to implement and any damages attributed to noncompliance.)</w:t>
            </w:r>
          </w:p>
        </w:tc>
      </w:tr>
      <w:tr w:rsidR="000242EE" w:rsidRPr="00E51E13" w14:paraId="4791F8EB" w14:textId="77777777" w:rsidTr="00ED39D7">
        <w:trPr>
          <w:trHeight w:val="890"/>
        </w:trPr>
        <w:tc>
          <w:tcPr>
            <w:tcW w:w="450" w:type="dxa"/>
            <w:vMerge w:val="restart"/>
            <w:tcBorders>
              <w:top w:val="single" w:sz="4" w:space="0" w:color="auto"/>
              <w:left w:val="single" w:sz="4" w:space="0" w:color="auto"/>
              <w:bottom w:val="single" w:sz="4" w:space="0" w:color="auto"/>
              <w:right w:val="single" w:sz="4" w:space="0" w:color="auto"/>
            </w:tcBorders>
            <w:shd w:val="clear" w:color="000000" w:fill="E4DFEC"/>
            <w:textDirection w:val="btLr"/>
            <w:hideMark/>
          </w:tcPr>
          <w:p w14:paraId="4721DE46" w14:textId="77777777" w:rsidR="000242EE" w:rsidRPr="00E51E13" w:rsidRDefault="000242EE" w:rsidP="0067642A">
            <w:pPr>
              <w:spacing w:after="0" w:line="240" w:lineRule="auto"/>
              <w:jc w:val="center"/>
              <w:rPr>
                <w:rFonts w:ascii="Calibri" w:eastAsia="Times New Roman" w:hAnsi="Calibri" w:cs="Times New Roman"/>
                <w:b/>
                <w:bCs/>
                <w:color w:val="000000"/>
              </w:rPr>
            </w:pPr>
            <w:r w:rsidRPr="00E51E13">
              <w:rPr>
                <w:rFonts w:ascii="Calibri" w:eastAsia="Times New Roman" w:hAnsi="Calibri" w:cs="Times New Roman"/>
                <w:b/>
                <w:bCs/>
                <w:color w:val="000000"/>
              </w:rPr>
              <w:t>Market Participation</w:t>
            </w:r>
          </w:p>
        </w:tc>
        <w:tc>
          <w:tcPr>
            <w:tcW w:w="56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59091B" w14:textId="77777777" w:rsidR="000242EE" w:rsidRPr="00E51E13" w:rsidRDefault="000242EE" w:rsidP="0067642A">
            <w:pPr>
              <w:spacing w:after="0" w:line="240" w:lineRule="auto"/>
              <w:rPr>
                <w:rFonts w:ascii="Calibri" w:eastAsia="Times New Roman" w:hAnsi="Calibri" w:cs="Times New Roman"/>
                <w:i/>
                <w:iCs/>
                <w:color w:val="000000"/>
                <w:sz w:val="20"/>
                <w:szCs w:val="20"/>
              </w:rPr>
            </w:pPr>
            <w:r w:rsidRPr="00E51E13">
              <w:rPr>
                <w:rFonts w:ascii="Calibri" w:eastAsia="Times New Roman" w:hAnsi="Calibri" w:cs="Times New Roman"/>
                <w:b/>
                <w:bCs/>
                <w:i/>
                <w:iCs/>
                <w:color w:val="000000"/>
                <w:sz w:val="20"/>
                <w:szCs w:val="20"/>
              </w:rPr>
              <w:t xml:space="preserve">Prohibition of Market Manipulation / Energy Policy Act of 2005: </w:t>
            </w:r>
            <w:r w:rsidRPr="00E51E13">
              <w:rPr>
                <w:rFonts w:ascii="Calibri" w:eastAsia="Times New Roman" w:hAnsi="Calibri" w:cs="Times New Roman"/>
                <w:i/>
                <w:iCs/>
                <w:color w:val="000000"/>
                <w:sz w:val="20"/>
                <w:szCs w:val="20"/>
              </w:rPr>
              <w:t>Establishes prohibitions against electric energy market manipulation.</w:t>
            </w:r>
          </w:p>
        </w:tc>
        <w:tc>
          <w:tcPr>
            <w:tcW w:w="3420" w:type="dxa"/>
            <w:tcBorders>
              <w:top w:val="single" w:sz="4" w:space="0" w:color="auto"/>
              <w:left w:val="nil"/>
              <w:bottom w:val="single" w:sz="4" w:space="0" w:color="auto"/>
              <w:right w:val="single" w:sz="4" w:space="0" w:color="auto"/>
            </w:tcBorders>
            <w:shd w:val="clear" w:color="auto" w:fill="auto"/>
            <w:vAlign w:val="center"/>
            <w:hideMark/>
          </w:tcPr>
          <w:p w14:paraId="67BF3D4D" w14:textId="77777777" w:rsidR="000242EE" w:rsidRPr="00E51E13" w:rsidRDefault="000242EE" w:rsidP="0067642A">
            <w:pPr>
              <w:spacing w:after="0" w:line="240" w:lineRule="auto"/>
              <w:rPr>
                <w:rFonts w:ascii="Calibri" w:eastAsia="Times New Roman" w:hAnsi="Calibri" w:cs="Times New Roman"/>
                <w:i/>
                <w:iCs/>
                <w:color w:val="000000"/>
                <w:sz w:val="20"/>
                <w:szCs w:val="20"/>
              </w:rPr>
            </w:pPr>
            <w:r w:rsidRPr="00E51E13">
              <w:rPr>
                <w:rFonts w:ascii="Calibri" w:eastAsia="Times New Roman" w:hAnsi="Calibri" w:cs="Times New Roman"/>
                <w:i/>
                <w:iCs/>
                <w:color w:val="000000"/>
                <w:sz w:val="20"/>
                <w:szCs w:val="20"/>
              </w:rPr>
              <w:t>Annual cost for training: $75,000.</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2E9FB3C7" w14:textId="094A535D" w:rsidR="000242EE" w:rsidRPr="00E51E13" w:rsidRDefault="000242EE" w:rsidP="0067642A">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Minor</w:t>
            </w:r>
            <w:r w:rsidRPr="00E51E13">
              <w:rPr>
                <w:rFonts w:ascii="Calibri" w:eastAsia="Times New Roman" w:hAnsi="Calibri" w:cs="Times New Roman"/>
                <w:color w:val="000000"/>
                <w:sz w:val="20"/>
                <w:szCs w:val="20"/>
              </w:rPr>
              <w:t xml:space="preserve"> increase</w:t>
            </w:r>
          </w:p>
        </w:tc>
        <w:tc>
          <w:tcPr>
            <w:tcW w:w="3330" w:type="dxa"/>
            <w:tcBorders>
              <w:top w:val="single" w:sz="4" w:space="0" w:color="auto"/>
              <w:left w:val="nil"/>
              <w:bottom w:val="single" w:sz="4" w:space="0" w:color="auto"/>
              <w:right w:val="single" w:sz="4" w:space="0" w:color="auto"/>
            </w:tcBorders>
            <w:shd w:val="clear" w:color="auto" w:fill="auto"/>
            <w:vAlign w:val="center"/>
            <w:hideMark/>
          </w:tcPr>
          <w:p w14:paraId="3FC095FC" w14:textId="77777777" w:rsidR="000242EE" w:rsidRPr="00E51E13" w:rsidRDefault="000242EE" w:rsidP="0067642A">
            <w:pPr>
              <w:spacing w:after="0" w:line="240" w:lineRule="auto"/>
              <w:rPr>
                <w:rFonts w:ascii="Calibri" w:eastAsia="Times New Roman" w:hAnsi="Calibri" w:cs="Times New Roman"/>
                <w:color w:val="000000"/>
                <w:sz w:val="20"/>
                <w:szCs w:val="20"/>
              </w:rPr>
            </w:pPr>
            <w:r w:rsidRPr="00E51E13">
              <w:rPr>
                <w:rFonts w:ascii="Calibri" w:eastAsia="Times New Roman" w:hAnsi="Calibri" w:cs="Times New Roman"/>
                <w:color w:val="000000"/>
                <w:sz w:val="20"/>
                <w:szCs w:val="20"/>
              </w:rPr>
              <w:t>Civil penalties under the Energy Policy Act of 2005 of up to $1 million per day per violation.</w:t>
            </w:r>
          </w:p>
        </w:tc>
      </w:tr>
      <w:tr w:rsidR="000242EE" w:rsidRPr="00E51E13" w14:paraId="7249E1CE" w14:textId="77777777" w:rsidTr="00ED39D7">
        <w:trPr>
          <w:trHeight w:val="890"/>
        </w:trPr>
        <w:tc>
          <w:tcPr>
            <w:tcW w:w="450" w:type="dxa"/>
            <w:vMerge/>
            <w:tcBorders>
              <w:top w:val="single" w:sz="4" w:space="0" w:color="auto"/>
              <w:left w:val="single" w:sz="4" w:space="0" w:color="auto"/>
              <w:bottom w:val="single" w:sz="4" w:space="0" w:color="auto"/>
              <w:right w:val="single" w:sz="4" w:space="0" w:color="auto"/>
            </w:tcBorders>
            <w:shd w:val="clear" w:color="000000" w:fill="E4DFEC"/>
            <w:textDirection w:val="btLr"/>
          </w:tcPr>
          <w:p w14:paraId="378634DB" w14:textId="77777777" w:rsidR="000242EE" w:rsidRPr="00E51E13" w:rsidRDefault="000242EE" w:rsidP="0067642A">
            <w:pPr>
              <w:spacing w:after="0" w:line="240" w:lineRule="auto"/>
              <w:jc w:val="center"/>
              <w:rPr>
                <w:rFonts w:ascii="Calibri" w:eastAsia="Times New Roman" w:hAnsi="Calibri" w:cs="Times New Roman"/>
                <w:b/>
                <w:bCs/>
                <w:color w:val="000000"/>
              </w:rPr>
            </w:pPr>
          </w:p>
        </w:tc>
        <w:tc>
          <w:tcPr>
            <w:tcW w:w="5652" w:type="dxa"/>
            <w:tcBorders>
              <w:top w:val="single" w:sz="4" w:space="0" w:color="auto"/>
              <w:left w:val="single" w:sz="4" w:space="0" w:color="auto"/>
              <w:bottom w:val="single" w:sz="4" w:space="0" w:color="auto"/>
              <w:right w:val="single" w:sz="4" w:space="0" w:color="auto"/>
            </w:tcBorders>
            <w:shd w:val="clear" w:color="auto" w:fill="auto"/>
            <w:vAlign w:val="center"/>
          </w:tcPr>
          <w:p w14:paraId="32A68249" w14:textId="378AF427" w:rsidR="000242EE" w:rsidRPr="00E51E13" w:rsidRDefault="000242EE" w:rsidP="0067642A">
            <w:pPr>
              <w:spacing w:after="0" w:line="240" w:lineRule="auto"/>
              <w:rPr>
                <w:rFonts w:ascii="Calibri" w:eastAsia="Times New Roman" w:hAnsi="Calibri" w:cs="Times New Roman"/>
                <w:b/>
                <w:bCs/>
                <w:i/>
                <w:iCs/>
                <w:color w:val="000000"/>
                <w:sz w:val="20"/>
                <w:szCs w:val="20"/>
              </w:rPr>
            </w:pPr>
            <w:r w:rsidRPr="00E51E13">
              <w:rPr>
                <w:rFonts w:ascii="Calibri" w:eastAsia="Times New Roman" w:hAnsi="Calibri" w:cs="Times New Roman"/>
                <w:b/>
                <w:bCs/>
                <w:i/>
                <w:iCs/>
                <w:sz w:val="20"/>
                <w:szCs w:val="20"/>
              </w:rPr>
              <w:t>Financial Market Reform/Dodd-Frank Act of 2010:</w:t>
            </w:r>
            <w:r w:rsidRPr="00E51E13">
              <w:rPr>
                <w:rFonts w:ascii="Calibri" w:eastAsia="Times New Roman" w:hAnsi="Calibri" w:cs="Times New Roman"/>
                <w:i/>
                <w:iCs/>
                <w:sz w:val="20"/>
                <w:szCs w:val="20"/>
              </w:rPr>
              <w:t xml:space="preserve"> This law was passed in response to the </w:t>
            </w:r>
            <w:r w:rsidRPr="0085535A">
              <w:rPr>
                <w:rFonts w:ascii="Calibri" w:eastAsia="Times New Roman" w:hAnsi="Calibri" w:cs="Times New Roman"/>
                <w:i/>
                <w:iCs/>
                <w:sz w:val="20"/>
                <w:szCs w:val="20"/>
              </w:rPr>
              <w:t xml:space="preserve">financial crisis of 2010, it establishes reforms to the federal regulation of certain financial transactions. </w:t>
            </w:r>
            <w:r>
              <w:rPr>
                <w:rFonts w:ascii="Calibri" w:eastAsia="Times New Roman" w:hAnsi="Calibri" w:cs="Times New Roman"/>
                <w:i/>
                <w:iCs/>
                <w:sz w:val="20"/>
                <w:szCs w:val="20"/>
              </w:rPr>
              <w:t xml:space="preserve"> </w:t>
            </w:r>
            <w:r w:rsidRPr="0085535A">
              <w:rPr>
                <w:rFonts w:ascii="Calibri" w:eastAsia="Times New Roman" w:hAnsi="Calibri" w:cs="Times New Roman"/>
                <w:i/>
                <w:iCs/>
                <w:sz w:val="20"/>
                <w:szCs w:val="20"/>
              </w:rPr>
              <w:t xml:space="preserve">A previous concern shared by the whole electric utility industry is the regulation of utility-related transactions made to serve customers. The final regulations generally exempt these transactions but there </w:t>
            </w:r>
            <w:proofErr w:type="gramStart"/>
            <w:r w:rsidRPr="0085535A">
              <w:rPr>
                <w:rFonts w:ascii="Calibri" w:eastAsia="Times New Roman" w:hAnsi="Calibri" w:cs="Times New Roman"/>
                <w:i/>
                <w:iCs/>
                <w:sz w:val="20"/>
                <w:szCs w:val="20"/>
              </w:rPr>
              <w:t>are</w:t>
            </w:r>
            <w:proofErr w:type="gramEnd"/>
            <w:r w:rsidRPr="0085535A">
              <w:rPr>
                <w:rFonts w:ascii="Calibri" w:eastAsia="Times New Roman" w:hAnsi="Calibri" w:cs="Times New Roman"/>
                <w:i/>
                <w:iCs/>
                <w:sz w:val="20"/>
                <w:szCs w:val="20"/>
              </w:rPr>
              <w:t xml:space="preserve"> recordkeeping requirements needed in order to support the exemption of these transactions. Both publicly owned utilities and investor owned utilities worked to ensure that these regulations address the original concern related to the financial markets</w:t>
            </w:r>
            <w:r>
              <w:rPr>
                <w:rFonts w:ascii="Calibri" w:eastAsia="Times New Roman" w:hAnsi="Calibri" w:cs="Times New Roman"/>
                <w:i/>
                <w:iCs/>
                <w:sz w:val="20"/>
                <w:szCs w:val="20"/>
              </w:rPr>
              <w:t>,</w:t>
            </w:r>
            <w:r w:rsidRPr="0085535A">
              <w:rPr>
                <w:rFonts w:ascii="Calibri" w:eastAsia="Times New Roman" w:hAnsi="Calibri" w:cs="Times New Roman"/>
                <w:i/>
                <w:iCs/>
                <w:sz w:val="20"/>
                <w:szCs w:val="20"/>
              </w:rPr>
              <w:t xml:space="preserve"> and minimally impact electric utilities and their customers who played no part in the financial meltdown.</w:t>
            </w:r>
          </w:p>
        </w:tc>
        <w:tc>
          <w:tcPr>
            <w:tcW w:w="3420" w:type="dxa"/>
            <w:tcBorders>
              <w:top w:val="single" w:sz="4" w:space="0" w:color="auto"/>
              <w:left w:val="nil"/>
              <w:bottom w:val="single" w:sz="4" w:space="0" w:color="auto"/>
              <w:right w:val="single" w:sz="4" w:space="0" w:color="auto"/>
            </w:tcBorders>
            <w:shd w:val="clear" w:color="auto" w:fill="auto"/>
            <w:vAlign w:val="center"/>
          </w:tcPr>
          <w:p w14:paraId="68C54C6A" w14:textId="77777777" w:rsidR="000242EE" w:rsidRPr="0085535A" w:rsidRDefault="000242EE" w:rsidP="0067642A">
            <w:pPr>
              <w:spacing w:after="0" w:line="240" w:lineRule="auto"/>
              <w:rPr>
                <w:rFonts w:ascii="Calibri" w:eastAsia="Times New Roman" w:hAnsi="Calibri" w:cs="Times New Roman"/>
                <w:i/>
                <w:iCs/>
                <w:sz w:val="20"/>
                <w:szCs w:val="20"/>
              </w:rPr>
            </w:pPr>
            <w:r w:rsidRPr="0085535A">
              <w:rPr>
                <w:rFonts w:ascii="Calibri" w:eastAsia="Times New Roman" w:hAnsi="Calibri" w:cs="Times New Roman"/>
                <w:i/>
                <w:iCs/>
                <w:sz w:val="20"/>
                <w:szCs w:val="20"/>
              </w:rPr>
              <w:t>Potential annual cost of reporting &amp; recordkeeping: $25,000 to $100,000.</w:t>
            </w:r>
          </w:p>
          <w:p w14:paraId="74116CF3" w14:textId="77777777" w:rsidR="000242EE" w:rsidRPr="0085535A" w:rsidRDefault="000242EE" w:rsidP="0067642A">
            <w:pPr>
              <w:spacing w:after="0" w:line="240" w:lineRule="auto"/>
              <w:rPr>
                <w:rFonts w:ascii="Calibri" w:eastAsia="Times New Roman" w:hAnsi="Calibri" w:cs="Times New Roman"/>
                <w:i/>
                <w:iCs/>
                <w:sz w:val="8"/>
                <w:szCs w:val="8"/>
              </w:rPr>
            </w:pPr>
            <w:r w:rsidRPr="0085535A">
              <w:rPr>
                <w:rFonts w:ascii="Calibri" w:eastAsia="Times New Roman" w:hAnsi="Calibri" w:cs="Times New Roman"/>
                <w:i/>
                <w:iCs/>
                <w:sz w:val="20"/>
                <w:szCs w:val="20"/>
              </w:rPr>
              <w:t xml:space="preserve"> </w:t>
            </w:r>
          </w:p>
          <w:p w14:paraId="38E1045C" w14:textId="5B8D9C70" w:rsidR="000242EE" w:rsidRPr="00E51E13" w:rsidRDefault="000242EE" w:rsidP="0067642A">
            <w:pPr>
              <w:spacing w:after="0" w:line="240" w:lineRule="auto"/>
              <w:rPr>
                <w:rFonts w:ascii="Calibri" w:eastAsia="Times New Roman" w:hAnsi="Calibri" w:cs="Times New Roman"/>
                <w:i/>
                <w:iCs/>
                <w:color w:val="000000"/>
                <w:sz w:val="20"/>
                <w:szCs w:val="20"/>
              </w:rPr>
            </w:pPr>
            <w:r w:rsidRPr="0085535A">
              <w:rPr>
                <w:rFonts w:ascii="Calibri" w:eastAsia="Times New Roman" w:hAnsi="Calibri" w:cs="Times New Roman"/>
                <w:i/>
                <w:iCs/>
                <w:sz w:val="20"/>
                <w:szCs w:val="20"/>
              </w:rPr>
              <w:t>Potential costs of additional requirements on electric transactions</w:t>
            </w:r>
            <w:r>
              <w:rPr>
                <w:rFonts w:ascii="Calibri" w:eastAsia="Times New Roman" w:hAnsi="Calibri" w:cs="Times New Roman"/>
                <w:i/>
                <w:iCs/>
                <w:sz w:val="20"/>
                <w:szCs w:val="20"/>
              </w:rPr>
              <w:t>.</w:t>
            </w:r>
          </w:p>
        </w:tc>
        <w:tc>
          <w:tcPr>
            <w:tcW w:w="1620" w:type="dxa"/>
            <w:tcBorders>
              <w:top w:val="single" w:sz="4" w:space="0" w:color="auto"/>
              <w:left w:val="nil"/>
              <w:bottom w:val="single" w:sz="4" w:space="0" w:color="auto"/>
              <w:right w:val="single" w:sz="4" w:space="0" w:color="auto"/>
            </w:tcBorders>
            <w:shd w:val="clear" w:color="auto" w:fill="auto"/>
            <w:vAlign w:val="center"/>
          </w:tcPr>
          <w:p w14:paraId="2B710F18" w14:textId="62B75FC2" w:rsidR="000242EE" w:rsidRPr="00E51E13" w:rsidRDefault="000242EE" w:rsidP="0067642A">
            <w:pPr>
              <w:spacing w:after="0" w:line="240" w:lineRule="auto"/>
              <w:jc w:val="center"/>
              <w:rPr>
                <w:rFonts w:ascii="Calibri" w:eastAsia="Times New Roman" w:hAnsi="Calibri" w:cs="Times New Roman"/>
                <w:color w:val="000000"/>
                <w:sz w:val="20"/>
                <w:szCs w:val="20"/>
              </w:rPr>
            </w:pPr>
            <w:r w:rsidRPr="00E51E13">
              <w:rPr>
                <w:rFonts w:ascii="Calibri" w:eastAsia="Times New Roman" w:hAnsi="Calibri" w:cs="Times New Roman"/>
                <w:color w:val="000000"/>
                <w:sz w:val="20"/>
                <w:szCs w:val="20"/>
              </w:rPr>
              <w:t>0.5% to 4% increase</w:t>
            </w:r>
          </w:p>
        </w:tc>
        <w:tc>
          <w:tcPr>
            <w:tcW w:w="3330" w:type="dxa"/>
            <w:tcBorders>
              <w:top w:val="single" w:sz="4" w:space="0" w:color="auto"/>
              <w:left w:val="nil"/>
              <w:bottom w:val="single" w:sz="4" w:space="0" w:color="auto"/>
              <w:right w:val="single" w:sz="4" w:space="0" w:color="auto"/>
            </w:tcBorders>
            <w:shd w:val="clear" w:color="auto" w:fill="auto"/>
            <w:vAlign w:val="center"/>
          </w:tcPr>
          <w:p w14:paraId="2B5CE51C" w14:textId="2FE184F9" w:rsidR="000242EE" w:rsidRPr="00E51E13" w:rsidRDefault="000242EE" w:rsidP="0067642A">
            <w:pPr>
              <w:spacing w:after="0" w:line="240" w:lineRule="auto"/>
              <w:rPr>
                <w:rFonts w:ascii="Calibri" w:eastAsia="Times New Roman" w:hAnsi="Calibri" w:cs="Times New Roman"/>
                <w:color w:val="000000"/>
                <w:sz w:val="20"/>
                <w:szCs w:val="20"/>
              </w:rPr>
            </w:pPr>
            <w:r w:rsidRPr="00E51E13">
              <w:rPr>
                <w:rFonts w:ascii="Calibri" w:eastAsia="Times New Roman" w:hAnsi="Calibri" w:cs="Times New Roman"/>
                <w:color w:val="000000"/>
                <w:sz w:val="20"/>
                <w:szCs w:val="20"/>
              </w:rPr>
              <w:t>Penalties under the Commodities Exchange Act of up to $1 million and/or imprisonment per violation.</w:t>
            </w:r>
          </w:p>
        </w:tc>
      </w:tr>
    </w:tbl>
    <w:p w14:paraId="594D41E7" w14:textId="60BEE37D" w:rsidR="002A7DFB" w:rsidRDefault="002A7DFB"/>
    <w:p w14:paraId="162A19D0" w14:textId="777B3BEF" w:rsidR="0093750D" w:rsidRDefault="0093750D"/>
    <w:p w14:paraId="4DB74652" w14:textId="77777777" w:rsidR="0093750D" w:rsidRDefault="0093750D"/>
    <w:p w14:paraId="60922863" w14:textId="77777777" w:rsidR="00ED39D7" w:rsidRDefault="00ED39D7">
      <w:r>
        <w:br w:type="page"/>
      </w:r>
    </w:p>
    <w:tbl>
      <w:tblPr>
        <w:tblW w:w="14217" w:type="dxa"/>
        <w:tblInd w:w="93" w:type="dxa"/>
        <w:tblLayout w:type="fixed"/>
        <w:tblLook w:val="04A0" w:firstRow="1" w:lastRow="0" w:firstColumn="1" w:lastColumn="0" w:noHBand="0" w:noVBand="1"/>
      </w:tblPr>
      <w:tblGrid>
        <w:gridCol w:w="498"/>
        <w:gridCol w:w="5349"/>
        <w:gridCol w:w="3420"/>
        <w:gridCol w:w="1620"/>
        <w:gridCol w:w="3330"/>
      </w:tblGrid>
      <w:tr w:rsidR="000242EE" w:rsidRPr="00E51E13" w14:paraId="436326A8" w14:textId="77777777" w:rsidTr="00ED39D7">
        <w:trPr>
          <w:cantSplit/>
          <w:trHeight w:val="800"/>
        </w:trPr>
        <w:tc>
          <w:tcPr>
            <w:tcW w:w="498" w:type="dxa"/>
            <w:tcBorders>
              <w:bottom w:val="single" w:sz="4" w:space="0" w:color="auto"/>
            </w:tcBorders>
            <w:shd w:val="clear" w:color="auto" w:fill="auto"/>
            <w:textDirection w:val="btLr"/>
            <w:vAlign w:val="center"/>
          </w:tcPr>
          <w:p w14:paraId="7453FE98" w14:textId="45301493" w:rsidR="000242EE" w:rsidRDefault="000242EE" w:rsidP="00676A10">
            <w:pPr>
              <w:spacing w:after="0" w:line="240" w:lineRule="auto"/>
              <w:ind w:left="113" w:right="113"/>
              <w:jc w:val="center"/>
              <w:rPr>
                <w:rFonts w:ascii="Calibri" w:eastAsia="Times New Roman" w:hAnsi="Calibri" w:cs="Times New Roman"/>
                <w:b/>
                <w:bCs/>
                <w:color w:val="FF0000"/>
              </w:rPr>
            </w:pPr>
          </w:p>
        </w:tc>
        <w:tc>
          <w:tcPr>
            <w:tcW w:w="5349" w:type="dxa"/>
            <w:tcBorders>
              <w:bottom w:val="single" w:sz="4" w:space="0" w:color="auto"/>
              <w:right w:val="single" w:sz="4" w:space="0" w:color="auto"/>
            </w:tcBorders>
            <w:shd w:val="clear" w:color="auto" w:fill="auto"/>
            <w:textDirection w:val="btLr"/>
            <w:vAlign w:val="center"/>
          </w:tcPr>
          <w:p w14:paraId="555B0793" w14:textId="77777777" w:rsidR="000242EE" w:rsidRPr="00E51E13" w:rsidRDefault="000242EE" w:rsidP="0067642A">
            <w:pPr>
              <w:spacing w:after="0" w:line="240" w:lineRule="auto"/>
              <w:jc w:val="center"/>
              <w:rPr>
                <w:rFonts w:ascii="Calibri" w:eastAsia="Times New Roman" w:hAnsi="Calibri" w:cs="Times New Roman"/>
                <w:b/>
                <w:bCs/>
                <w:color w:val="000000"/>
                <w:sz w:val="18"/>
                <w:szCs w:val="18"/>
              </w:rPr>
            </w:pPr>
            <w:r w:rsidRPr="00E51E13">
              <w:rPr>
                <w:rFonts w:ascii="Calibri" w:eastAsia="Times New Roman" w:hAnsi="Calibri" w:cs="Times New Roman"/>
                <w:b/>
                <w:bCs/>
                <w:color w:val="000000"/>
                <w:sz w:val="18"/>
                <w:szCs w:val="18"/>
              </w:rPr>
              <w:t xml:space="preserve"> </w:t>
            </w:r>
          </w:p>
        </w:tc>
        <w:tc>
          <w:tcPr>
            <w:tcW w:w="3420"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203E8412" w14:textId="77777777" w:rsidR="000242EE" w:rsidRPr="00E51E13" w:rsidRDefault="000242EE" w:rsidP="0067642A">
            <w:pPr>
              <w:spacing w:after="0" w:line="240" w:lineRule="auto"/>
              <w:jc w:val="center"/>
              <w:rPr>
                <w:rFonts w:ascii="Calibri" w:eastAsia="Times New Roman" w:hAnsi="Calibri" w:cs="Times New Roman"/>
                <w:b/>
                <w:bCs/>
                <w:color w:val="000000"/>
              </w:rPr>
            </w:pPr>
            <w:r w:rsidRPr="00E51E13">
              <w:rPr>
                <w:rFonts w:ascii="Calibri" w:eastAsia="Times New Roman" w:hAnsi="Calibri" w:cs="Times New Roman"/>
                <w:b/>
                <w:bCs/>
                <w:color w:val="000000"/>
              </w:rPr>
              <w:t>Estimated Cost of Implementation</w:t>
            </w:r>
          </w:p>
        </w:tc>
        <w:tc>
          <w:tcPr>
            <w:tcW w:w="1620" w:type="dxa"/>
            <w:tcBorders>
              <w:top w:val="single" w:sz="4" w:space="0" w:color="auto"/>
              <w:left w:val="nil"/>
              <w:bottom w:val="single" w:sz="4" w:space="0" w:color="auto"/>
              <w:right w:val="single" w:sz="4" w:space="0" w:color="auto"/>
            </w:tcBorders>
            <w:shd w:val="clear" w:color="auto" w:fill="E5DFEC" w:themeFill="accent4" w:themeFillTint="33"/>
            <w:vAlign w:val="center"/>
          </w:tcPr>
          <w:p w14:paraId="195D6F13" w14:textId="77777777" w:rsidR="000242EE" w:rsidRPr="00E51E13" w:rsidRDefault="000242EE" w:rsidP="0067642A">
            <w:pPr>
              <w:spacing w:after="0" w:line="240" w:lineRule="auto"/>
              <w:jc w:val="center"/>
              <w:rPr>
                <w:rFonts w:ascii="Calibri" w:eastAsia="Times New Roman" w:hAnsi="Calibri" w:cs="Times New Roman"/>
                <w:b/>
                <w:bCs/>
                <w:color w:val="000000"/>
              </w:rPr>
            </w:pPr>
            <w:r w:rsidRPr="00E51E13">
              <w:rPr>
                <w:rFonts w:ascii="Calibri" w:eastAsia="Times New Roman" w:hAnsi="Calibri" w:cs="Times New Roman"/>
                <w:b/>
                <w:bCs/>
                <w:color w:val="000000"/>
              </w:rPr>
              <w:t>Estimated Rate Impact</w:t>
            </w:r>
          </w:p>
        </w:tc>
        <w:tc>
          <w:tcPr>
            <w:tcW w:w="3330" w:type="dxa"/>
            <w:tcBorders>
              <w:top w:val="single" w:sz="4" w:space="0" w:color="auto"/>
              <w:left w:val="nil"/>
              <w:bottom w:val="single" w:sz="4" w:space="0" w:color="auto"/>
              <w:right w:val="single" w:sz="4" w:space="0" w:color="auto"/>
            </w:tcBorders>
            <w:shd w:val="clear" w:color="auto" w:fill="DAEEF3" w:themeFill="accent5" w:themeFillTint="33"/>
            <w:vAlign w:val="center"/>
          </w:tcPr>
          <w:p w14:paraId="307AD8C9" w14:textId="77777777" w:rsidR="000242EE" w:rsidRPr="00E51E13" w:rsidRDefault="000242EE" w:rsidP="0067642A">
            <w:pPr>
              <w:spacing w:after="0" w:line="240" w:lineRule="auto"/>
              <w:jc w:val="center"/>
              <w:rPr>
                <w:rFonts w:ascii="Calibri" w:eastAsia="Times New Roman" w:hAnsi="Calibri" w:cs="Times New Roman"/>
                <w:b/>
                <w:bCs/>
                <w:color w:val="000000"/>
              </w:rPr>
            </w:pPr>
            <w:r w:rsidRPr="00E51E13">
              <w:rPr>
                <w:rFonts w:ascii="Calibri" w:eastAsia="Times New Roman" w:hAnsi="Calibri" w:cs="Times New Roman"/>
                <w:b/>
                <w:bCs/>
                <w:color w:val="000000"/>
              </w:rPr>
              <w:t>Penalties / Other  Potential                                  Cost Impacts</w:t>
            </w:r>
          </w:p>
        </w:tc>
      </w:tr>
      <w:tr w:rsidR="000242EE" w:rsidRPr="00E51E13" w14:paraId="594DE92F" w14:textId="77777777" w:rsidTr="00ED39D7">
        <w:trPr>
          <w:cantSplit/>
          <w:trHeight w:val="3527"/>
        </w:trPr>
        <w:tc>
          <w:tcPr>
            <w:tcW w:w="498" w:type="dxa"/>
            <w:tcBorders>
              <w:top w:val="single" w:sz="4" w:space="0" w:color="auto"/>
              <w:left w:val="single" w:sz="4" w:space="0" w:color="auto"/>
              <w:bottom w:val="single" w:sz="4" w:space="0" w:color="auto"/>
              <w:right w:val="single" w:sz="4" w:space="0" w:color="auto"/>
            </w:tcBorders>
            <w:shd w:val="clear" w:color="auto" w:fill="FDE9D9" w:themeFill="accent6" w:themeFillTint="33"/>
            <w:textDirection w:val="btLr"/>
          </w:tcPr>
          <w:p w14:paraId="4DCECEBA" w14:textId="77777777" w:rsidR="000242EE" w:rsidRPr="000C530C" w:rsidRDefault="000242EE" w:rsidP="00C32AE8">
            <w:pPr>
              <w:spacing w:after="0" w:line="240" w:lineRule="auto"/>
              <w:ind w:left="113" w:right="113"/>
              <w:jc w:val="center"/>
              <w:rPr>
                <w:rFonts w:ascii="Calibri" w:eastAsia="Times New Roman" w:hAnsi="Calibri" w:cs="Times New Roman"/>
                <w:b/>
                <w:bCs/>
              </w:rPr>
            </w:pPr>
            <w:r w:rsidRPr="000C530C">
              <w:rPr>
                <w:rFonts w:ascii="Calibri" w:eastAsia="Times New Roman" w:hAnsi="Calibri" w:cs="Times New Roman"/>
                <w:b/>
                <w:bCs/>
              </w:rPr>
              <w:t>Integrated Resource Plan (IRP)</w:t>
            </w:r>
          </w:p>
        </w:tc>
        <w:tc>
          <w:tcPr>
            <w:tcW w:w="5349" w:type="dxa"/>
            <w:tcBorders>
              <w:top w:val="single" w:sz="4" w:space="0" w:color="auto"/>
              <w:left w:val="single" w:sz="4" w:space="0" w:color="auto"/>
              <w:bottom w:val="single" w:sz="4" w:space="0" w:color="auto"/>
              <w:right w:val="single" w:sz="4" w:space="0" w:color="auto"/>
            </w:tcBorders>
            <w:shd w:val="clear" w:color="auto" w:fill="auto"/>
            <w:vAlign w:val="center"/>
          </w:tcPr>
          <w:p w14:paraId="11DD8B4B" w14:textId="77777777" w:rsidR="000242EE" w:rsidRPr="00DD2C38" w:rsidRDefault="000242EE" w:rsidP="004B0274">
            <w:pPr>
              <w:spacing w:after="0" w:line="240" w:lineRule="auto"/>
              <w:rPr>
                <w:rFonts w:ascii="Calibri" w:eastAsia="Times New Roman" w:hAnsi="Calibri" w:cs="Times New Roman"/>
                <w:b/>
                <w:bCs/>
                <w:i/>
                <w:iCs/>
                <w:sz w:val="20"/>
                <w:szCs w:val="20"/>
              </w:rPr>
            </w:pPr>
            <w:r w:rsidRPr="00DD2C38">
              <w:rPr>
                <w:rFonts w:ascii="Calibri" w:eastAsia="Times New Roman" w:hAnsi="Calibri" w:cs="Times New Roman"/>
                <w:b/>
                <w:bCs/>
                <w:i/>
                <w:iCs/>
                <w:sz w:val="20"/>
                <w:szCs w:val="20"/>
              </w:rPr>
              <w:t xml:space="preserve">Clean Energy and Pollution Reduction Act / SB 350 (2015): </w:t>
            </w:r>
            <w:r w:rsidRPr="004B0274">
              <w:rPr>
                <w:rFonts w:ascii="Calibri" w:eastAsia="Times New Roman" w:hAnsi="Calibri" w:cs="Times New Roman"/>
                <w:bCs/>
                <w:i/>
                <w:iCs/>
                <w:sz w:val="20"/>
                <w:szCs w:val="20"/>
              </w:rPr>
              <w:t>T</w:t>
            </w:r>
            <w:r w:rsidRPr="00DD2C38">
              <w:rPr>
                <w:rFonts w:ascii="Calibri" w:eastAsia="Times New Roman" w:hAnsi="Calibri" w:cs="Times New Roman"/>
                <w:bCs/>
                <w:i/>
                <w:iCs/>
                <w:sz w:val="20"/>
                <w:szCs w:val="20"/>
              </w:rPr>
              <w:t xml:space="preserve">his law is intended to implement the Governor’s Climate Change Goals for 2030. However, this law also requires the governing board of a </w:t>
            </w:r>
            <w:proofErr w:type="gramStart"/>
            <w:r w:rsidRPr="00DD2C38">
              <w:rPr>
                <w:rFonts w:ascii="Calibri" w:eastAsia="Times New Roman" w:hAnsi="Calibri" w:cs="Times New Roman"/>
                <w:bCs/>
                <w:i/>
                <w:iCs/>
                <w:sz w:val="20"/>
                <w:szCs w:val="20"/>
              </w:rPr>
              <w:t>publicly-owned</w:t>
            </w:r>
            <w:proofErr w:type="gramEnd"/>
            <w:r w:rsidRPr="00DD2C38">
              <w:rPr>
                <w:rFonts w:ascii="Calibri" w:eastAsia="Times New Roman" w:hAnsi="Calibri" w:cs="Times New Roman"/>
                <w:bCs/>
                <w:i/>
                <w:iCs/>
                <w:sz w:val="20"/>
                <w:szCs w:val="20"/>
              </w:rPr>
              <w:t xml:space="preserve"> utility to adopt, before January 2019, an Integrated Resource Plan (IRP) that ensures the utility’s resource procurement is achieving targets for greenhouse gas reduction, renewable energy procurement, and other elements. The IRPs must also be updated every five years.  [For additional impacts from SB 350, see “RPS” and “Energy Efficiency” sections]</w:t>
            </w:r>
          </w:p>
        </w:tc>
        <w:tc>
          <w:tcPr>
            <w:tcW w:w="3420" w:type="dxa"/>
            <w:tcBorders>
              <w:top w:val="single" w:sz="4" w:space="0" w:color="auto"/>
              <w:left w:val="nil"/>
              <w:bottom w:val="single" w:sz="4" w:space="0" w:color="auto"/>
              <w:right w:val="single" w:sz="4" w:space="0" w:color="auto"/>
            </w:tcBorders>
            <w:shd w:val="clear" w:color="auto" w:fill="auto"/>
            <w:vAlign w:val="center"/>
          </w:tcPr>
          <w:p w14:paraId="7B3567ED" w14:textId="77777777" w:rsidR="000242EE" w:rsidRPr="00DD2C38" w:rsidRDefault="000242EE" w:rsidP="00676A10">
            <w:pPr>
              <w:spacing w:after="0" w:line="240" w:lineRule="auto"/>
              <w:rPr>
                <w:rFonts w:ascii="Calibri" w:eastAsia="Times New Roman" w:hAnsi="Calibri" w:cs="Times New Roman"/>
                <w:i/>
                <w:iCs/>
                <w:sz w:val="20"/>
                <w:szCs w:val="20"/>
              </w:rPr>
            </w:pPr>
            <w:r w:rsidRPr="00DD2C38">
              <w:rPr>
                <w:rFonts w:ascii="Calibri" w:eastAsia="Times New Roman" w:hAnsi="Calibri" w:cs="Times New Roman"/>
                <w:i/>
                <w:iCs/>
                <w:sz w:val="20"/>
                <w:szCs w:val="20"/>
              </w:rPr>
              <w:t>Cost to prepare initial IRP: $250,000</w:t>
            </w:r>
          </w:p>
          <w:p w14:paraId="4AE0EB54" w14:textId="77777777" w:rsidR="000242EE" w:rsidRPr="00DD2C38" w:rsidRDefault="000242EE" w:rsidP="00676A10">
            <w:pPr>
              <w:spacing w:after="0" w:line="240" w:lineRule="auto"/>
              <w:rPr>
                <w:rFonts w:ascii="Calibri" w:eastAsia="Times New Roman" w:hAnsi="Calibri" w:cs="Times New Roman"/>
                <w:i/>
                <w:iCs/>
                <w:sz w:val="20"/>
                <w:szCs w:val="20"/>
              </w:rPr>
            </w:pPr>
          </w:p>
          <w:p w14:paraId="31B0D5A6" w14:textId="77777777" w:rsidR="000242EE" w:rsidRPr="00DD2C38" w:rsidRDefault="000242EE" w:rsidP="00676A10">
            <w:pPr>
              <w:spacing w:after="0" w:line="240" w:lineRule="auto"/>
              <w:rPr>
                <w:rFonts w:ascii="Calibri" w:eastAsia="Times New Roman" w:hAnsi="Calibri" w:cs="Times New Roman"/>
                <w:i/>
                <w:iCs/>
                <w:sz w:val="20"/>
                <w:szCs w:val="20"/>
              </w:rPr>
            </w:pPr>
            <w:r w:rsidRPr="00DD2C38">
              <w:rPr>
                <w:rFonts w:ascii="Calibri" w:eastAsia="Times New Roman" w:hAnsi="Calibri" w:cs="Times New Roman"/>
                <w:i/>
                <w:iCs/>
                <w:sz w:val="20"/>
                <w:szCs w:val="20"/>
              </w:rPr>
              <w:t>Costs to update IRP every five years: $50,000</w:t>
            </w:r>
          </w:p>
        </w:tc>
        <w:tc>
          <w:tcPr>
            <w:tcW w:w="1620" w:type="dxa"/>
            <w:tcBorders>
              <w:top w:val="single" w:sz="4" w:space="0" w:color="auto"/>
              <w:left w:val="nil"/>
              <w:bottom w:val="single" w:sz="4" w:space="0" w:color="auto"/>
              <w:right w:val="single" w:sz="4" w:space="0" w:color="auto"/>
            </w:tcBorders>
            <w:shd w:val="clear" w:color="auto" w:fill="auto"/>
            <w:vAlign w:val="center"/>
          </w:tcPr>
          <w:p w14:paraId="68011CDD" w14:textId="77777777" w:rsidR="000242EE" w:rsidRPr="00DD2C38" w:rsidRDefault="000242EE" w:rsidP="00676A10">
            <w:pPr>
              <w:spacing w:after="0" w:line="240" w:lineRule="auto"/>
              <w:jc w:val="center"/>
              <w:rPr>
                <w:rFonts w:ascii="Calibri" w:eastAsia="Times New Roman" w:hAnsi="Calibri" w:cs="Times New Roman"/>
                <w:sz w:val="20"/>
                <w:szCs w:val="20"/>
              </w:rPr>
            </w:pPr>
            <w:r w:rsidRPr="00DD2C38">
              <w:rPr>
                <w:rFonts w:ascii="Calibri" w:eastAsia="Times New Roman" w:hAnsi="Calibri" w:cs="Times New Roman"/>
                <w:sz w:val="20"/>
                <w:szCs w:val="20"/>
              </w:rPr>
              <w:t>0.07% increase</w:t>
            </w:r>
          </w:p>
        </w:tc>
        <w:tc>
          <w:tcPr>
            <w:tcW w:w="3330" w:type="dxa"/>
            <w:tcBorders>
              <w:top w:val="single" w:sz="4" w:space="0" w:color="auto"/>
              <w:left w:val="nil"/>
              <w:bottom w:val="single" w:sz="4" w:space="0" w:color="auto"/>
              <w:right w:val="single" w:sz="4" w:space="0" w:color="auto"/>
            </w:tcBorders>
            <w:shd w:val="clear" w:color="auto" w:fill="auto"/>
            <w:vAlign w:val="center"/>
          </w:tcPr>
          <w:p w14:paraId="0DBD4924" w14:textId="77777777" w:rsidR="000242EE" w:rsidRPr="00DD2C38" w:rsidRDefault="000242EE" w:rsidP="00676A10">
            <w:pPr>
              <w:spacing w:after="0" w:line="240" w:lineRule="auto"/>
              <w:rPr>
                <w:rFonts w:ascii="Calibri" w:eastAsia="Times New Roman" w:hAnsi="Calibri" w:cs="Times New Roman"/>
                <w:sz w:val="20"/>
                <w:szCs w:val="20"/>
              </w:rPr>
            </w:pPr>
            <w:r w:rsidRPr="00DD2C38">
              <w:rPr>
                <w:rFonts w:ascii="Calibri" w:eastAsia="Times New Roman" w:hAnsi="Calibri" w:cs="Times New Roman"/>
                <w:sz w:val="20"/>
                <w:szCs w:val="20"/>
              </w:rPr>
              <w:t>Financial penalties not specified. California Energy Commission authorized to review IRPs and provide recommendations to correct deficiencies.</w:t>
            </w:r>
          </w:p>
        </w:tc>
      </w:tr>
      <w:tr w:rsidR="000242EE" w:rsidRPr="00E51E13" w14:paraId="18BE0E76" w14:textId="77777777" w:rsidTr="00ED39D7">
        <w:trPr>
          <w:gridAfter w:val="1"/>
          <w:wAfter w:w="3330" w:type="dxa"/>
          <w:cantSplit/>
          <w:trHeight w:val="2230"/>
        </w:trPr>
        <w:tc>
          <w:tcPr>
            <w:tcW w:w="5847" w:type="dxa"/>
            <w:gridSpan w:val="2"/>
            <w:tcBorders>
              <w:top w:val="single" w:sz="4" w:space="0" w:color="auto"/>
              <w:right w:val="single" w:sz="4" w:space="0" w:color="auto"/>
            </w:tcBorders>
            <w:shd w:val="clear" w:color="auto" w:fill="auto"/>
            <w:textDirection w:val="btLr"/>
            <w:vAlign w:val="center"/>
          </w:tcPr>
          <w:p w14:paraId="1CF79947" w14:textId="77777777" w:rsidR="000242EE" w:rsidRPr="00A33FAE" w:rsidRDefault="000242EE" w:rsidP="00AD1C66">
            <w:pPr>
              <w:spacing w:after="0" w:line="240" w:lineRule="auto"/>
              <w:rPr>
                <w:rFonts w:ascii="Calibri" w:eastAsia="Times New Roman" w:hAnsi="Calibri" w:cs="Times New Roman"/>
                <w:b/>
                <w:bCs/>
                <w:i/>
                <w:iCs/>
                <w:color w:val="FF0000"/>
                <w:sz w:val="20"/>
                <w:szCs w:val="20"/>
              </w:rPr>
            </w:pPr>
          </w:p>
        </w:tc>
        <w:tc>
          <w:tcPr>
            <w:tcW w:w="50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BFED2B" w14:textId="3525477E" w:rsidR="000242EE" w:rsidRDefault="000242EE" w:rsidP="00025901">
            <w:pPr>
              <w:spacing w:after="0" w:line="240" w:lineRule="auto"/>
              <w:rPr>
                <w:rFonts w:ascii="Calibri" w:eastAsia="Times New Roman" w:hAnsi="Calibri" w:cs="Times New Roman"/>
                <w:b/>
                <w:bCs/>
                <w:i/>
                <w:iCs/>
                <w:color w:val="000000"/>
                <w:sz w:val="20"/>
                <w:szCs w:val="20"/>
              </w:rPr>
            </w:pPr>
            <w:r w:rsidRPr="00E51E13">
              <w:rPr>
                <w:rFonts w:ascii="Calibri" w:eastAsia="Times New Roman" w:hAnsi="Calibri" w:cs="Times New Roman"/>
                <w:b/>
                <w:bCs/>
                <w:i/>
                <w:iCs/>
                <w:color w:val="000000"/>
                <w:sz w:val="20"/>
                <w:szCs w:val="20"/>
              </w:rPr>
              <w:t>Total estimated rate impact over the next 10 years for those programs not already included in the rate base is between</w:t>
            </w:r>
            <w:r>
              <w:rPr>
                <w:rFonts w:ascii="Calibri" w:eastAsia="Times New Roman" w:hAnsi="Calibri" w:cs="Times New Roman"/>
                <w:b/>
                <w:bCs/>
                <w:i/>
                <w:iCs/>
                <w:color w:val="000000"/>
                <w:sz w:val="20"/>
                <w:szCs w:val="20"/>
              </w:rPr>
              <w:t xml:space="preserve"> a</w:t>
            </w:r>
            <w:r w:rsidRPr="00E51E13">
              <w:rPr>
                <w:rFonts w:ascii="Calibri" w:eastAsia="Times New Roman" w:hAnsi="Calibri" w:cs="Times New Roman"/>
                <w:b/>
                <w:bCs/>
                <w:i/>
                <w:iCs/>
                <w:color w:val="000000"/>
                <w:sz w:val="20"/>
                <w:szCs w:val="20"/>
              </w:rPr>
              <w:t xml:space="preserve"> </w:t>
            </w:r>
            <w:r w:rsidRPr="00286AB5">
              <w:rPr>
                <w:rFonts w:ascii="Calibri" w:eastAsia="Times New Roman" w:hAnsi="Calibri" w:cs="Times New Roman"/>
                <w:b/>
                <w:bCs/>
                <w:i/>
                <w:iCs/>
                <w:sz w:val="20"/>
                <w:szCs w:val="20"/>
                <w:u w:val="single"/>
              </w:rPr>
              <w:t>5% to 10%</w:t>
            </w:r>
            <w:r w:rsidRPr="00762276">
              <w:rPr>
                <w:rFonts w:ascii="Calibri" w:eastAsia="Times New Roman" w:hAnsi="Calibri" w:cs="Times New Roman"/>
                <w:b/>
                <w:bCs/>
                <w:i/>
                <w:iCs/>
                <w:color w:val="000000"/>
                <w:sz w:val="20"/>
                <w:szCs w:val="20"/>
                <w:u w:val="single"/>
              </w:rPr>
              <w:t xml:space="preserve"> increase</w:t>
            </w:r>
            <w:r w:rsidRPr="00762276">
              <w:rPr>
                <w:rFonts w:ascii="Calibri" w:eastAsia="Times New Roman" w:hAnsi="Calibri" w:cs="Times New Roman"/>
                <w:b/>
                <w:bCs/>
                <w:i/>
                <w:iCs/>
                <w:color w:val="000000"/>
                <w:sz w:val="20"/>
                <w:szCs w:val="20"/>
              </w:rPr>
              <w:t xml:space="preserve">, </w:t>
            </w:r>
            <w:proofErr w:type="gramStart"/>
            <w:r w:rsidRPr="00762276">
              <w:rPr>
                <w:rFonts w:ascii="Calibri" w:eastAsia="Times New Roman" w:hAnsi="Calibri" w:cs="Times New Roman"/>
                <w:b/>
                <w:bCs/>
                <w:i/>
                <w:iCs/>
                <w:color w:val="000000"/>
                <w:sz w:val="20"/>
                <w:szCs w:val="20"/>
              </w:rPr>
              <w:t>provided th</w:t>
            </w:r>
            <w:r w:rsidRPr="00E51E13">
              <w:rPr>
                <w:rFonts w:ascii="Calibri" w:eastAsia="Times New Roman" w:hAnsi="Calibri" w:cs="Times New Roman"/>
                <w:b/>
                <w:bCs/>
                <w:i/>
                <w:iCs/>
                <w:color w:val="000000"/>
                <w:sz w:val="20"/>
                <w:szCs w:val="20"/>
              </w:rPr>
              <w:t>at</w:t>
            </w:r>
            <w:proofErr w:type="gramEnd"/>
            <w:r w:rsidRPr="00E51E13">
              <w:rPr>
                <w:rFonts w:ascii="Calibri" w:eastAsia="Times New Roman" w:hAnsi="Calibri" w:cs="Times New Roman"/>
                <w:b/>
                <w:bCs/>
                <w:i/>
                <w:iCs/>
                <w:color w:val="000000"/>
                <w:sz w:val="20"/>
                <w:szCs w:val="20"/>
              </w:rPr>
              <w:t xml:space="preserve"> there are no significant changes in the assumptions.  </w:t>
            </w:r>
          </w:p>
          <w:p w14:paraId="1AFA6330" w14:textId="77777777" w:rsidR="000242EE" w:rsidRDefault="000242EE" w:rsidP="00025901">
            <w:pPr>
              <w:spacing w:after="0" w:line="240" w:lineRule="auto"/>
              <w:rPr>
                <w:rFonts w:ascii="Calibri" w:eastAsia="Times New Roman" w:hAnsi="Calibri" w:cs="Times New Roman"/>
                <w:b/>
                <w:bCs/>
                <w:i/>
                <w:iCs/>
                <w:color w:val="000000"/>
                <w:sz w:val="8"/>
                <w:szCs w:val="8"/>
              </w:rPr>
            </w:pPr>
          </w:p>
          <w:p w14:paraId="12BBF6BE" w14:textId="77777777" w:rsidR="000242EE" w:rsidRDefault="000242EE" w:rsidP="00025901">
            <w:pPr>
              <w:spacing w:after="0" w:line="240" w:lineRule="auto"/>
              <w:rPr>
                <w:rFonts w:ascii="Calibri" w:eastAsia="Times New Roman" w:hAnsi="Calibri" w:cs="Times New Roman"/>
                <w:color w:val="FF0000"/>
                <w:sz w:val="20"/>
                <w:szCs w:val="20"/>
              </w:rPr>
            </w:pPr>
            <w:r w:rsidRPr="00E51E13">
              <w:rPr>
                <w:rFonts w:ascii="Calibri" w:eastAsia="Times New Roman" w:hAnsi="Calibri" w:cs="Times New Roman"/>
                <w:b/>
                <w:bCs/>
                <w:i/>
                <w:iCs/>
                <w:color w:val="000000"/>
                <w:sz w:val="20"/>
                <w:szCs w:val="20"/>
              </w:rPr>
              <w:t xml:space="preserve">Does </w:t>
            </w:r>
            <w:r w:rsidRPr="00E51E13">
              <w:rPr>
                <w:rFonts w:ascii="Calibri" w:eastAsia="Times New Roman" w:hAnsi="Calibri" w:cs="Times New Roman"/>
                <w:b/>
                <w:bCs/>
                <w:i/>
                <w:iCs/>
                <w:color w:val="000000"/>
                <w:sz w:val="20"/>
                <w:szCs w:val="20"/>
                <w:u w:val="single"/>
              </w:rPr>
              <w:t>not</w:t>
            </w:r>
            <w:r w:rsidRPr="00E51E13">
              <w:rPr>
                <w:rFonts w:ascii="Calibri" w:eastAsia="Times New Roman" w:hAnsi="Calibri" w:cs="Times New Roman"/>
                <w:b/>
                <w:bCs/>
                <w:i/>
                <w:iCs/>
                <w:color w:val="000000"/>
                <w:sz w:val="20"/>
                <w:szCs w:val="20"/>
              </w:rPr>
              <w:t xml:space="preserve"> include estimates of costs of any pending legislation, or one time cost impacts.</w:t>
            </w:r>
          </w:p>
        </w:tc>
      </w:tr>
    </w:tbl>
    <w:p w14:paraId="4E3D7FC3" w14:textId="77777777" w:rsidR="004F2A73" w:rsidRPr="001B0333" w:rsidRDefault="004F2A73" w:rsidP="000C1FE3">
      <w:pPr>
        <w:rPr>
          <w:sz w:val="10"/>
          <w:szCs w:val="10"/>
        </w:rPr>
      </w:pPr>
    </w:p>
    <w:sectPr w:rsidR="004F2A73" w:rsidRPr="001B0333" w:rsidSect="00EC020C">
      <w:headerReference w:type="default" r:id="rId8"/>
      <w:footerReference w:type="default" r:id="rId9"/>
      <w:pgSz w:w="15840" w:h="12240" w:orient="landscape"/>
      <w:pgMar w:top="1440" w:right="720" w:bottom="720" w:left="720" w:header="720" w:footer="35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C4506A" w14:textId="77777777" w:rsidR="0067642A" w:rsidRDefault="0067642A" w:rsidP="00E51E13">
      <w:pPr>
        <w:spacing w:after="0" w:line="240" w:lineRule="auto"/>
      </w:pPr>
      <w:r>
        <w:separator/>
      </w:r>
    </w:p>
  </w:endnote>
  <w:endnote w:type="continuationSeparator" w:id="0">
    <w:p w14:paraId="0D24C361" w14:textId="77777777" w:rsidR="0067642A" w:rsidRDefault="0067642A" w:rsidP="00E51E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F18608" w14:textId="77777777" w:rsidR="0067642A" w:rsidRDefault="0067642A" w:rsidP="00056F07">
    <w:pPr>
      <w:pStyle w:val="Footer"/>
      <w:jc w:val="center"/>
    </w:pPr>
    <w:r>
      <w:t>Estimates are not audited, nor exact, but provide an overall context of the aggregate potential economic impact of recently passed legislation.</w:t>
    </w:r>
  </w:p>
  <w:p w14:paraId="1CAF955C" w14:textId="77777777" w:rsidR="0067642A" w:rsidRPr="00BC13CD" w:rsidRDefault="0067642A" w:rsidP="00056F07">
    <w:pPr>
      <w:pStyle w:val="Footer"/>
      <w:jc w:val="center"/>
      <w:rPr>
        <w:sz w:val="8"/>
        <w:szCs w:val="8"/>
      </w:rPr>
    </w:pPr>
  </w:p>
  <w:p w14:paraId="1701A398" w14:textId="06079AD1" w:rsidR="0067642A" w:rsidRDefault="008F0444">
    <w:pPr>
      <w:pStyle w:val="Footer"/>
    </w:pPr>
    <w:r>
      <w:t xml:space="preserve">October </w:t>
    </w:r>
    <w:r w:rsidR="00E43102">
      <w:t>2024</w:t>
    </w:r>
    <w:r w:rsidR="0067642A">
      <w:tab/>
    </w:r>
    <w:r w:rsidR="0067642A">
      <w:tab/>
    </w:r>
    <w:r w:rsidR="0067642A">
      <w:tab/>
    </w:r>
    <w:r w:rsidR="0067642A">
      <w:tab/>
    </w:r>
    <w:r w:rsidR="0067642A">
      <w:tab/>
    </w:r>
    <w:r w:rsidR="0067642A">
      <w:tab/>
    </w:r>
    <w:r w:rsidR="0067642A">
      <w:tab/>
    </w:r>
    <w:r w:rsidR="0067642A">
      <w:tab/>
      <w:t xml:space="preserve">Page </w:t>
    </w:r>
    <w:r w:rsidR="0067642A">
      <w:fldChar w:fldCharType="begin"/>
    </w:r>
    <w:r w:rsidR="0067642A">
      <w:instrText xml:space="preserve"> PAGE  \* Arabic  \* MERGEFORMAT </w:instrText>
    </w:r>
    <w:r w:rsidR="0067642A">
      <w:fldChar w:fldCharType="separate"/>
    </w:r>
    <w:r w:rsidR="00620A17">
      <w:rPr>
        <w:noProof/>
      </w:rPr>
      <w:t>11</w:t>
    </w:r>
    <w:r w:rsidR="0067642A">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05C12A" w14:textId="77777777" w:rsidR="0067642A" w:rsidRDefault="0067642A" w:rsidP="00E51E13">
      <w:pPr>
        <w:spacing w:after="0" w:line="240" w:lineRule="auto"/>
      </w:pPr>
      <w:r>
        <w:separator/>
      </w:r>
    </w:p>
  </w:footnote>
  <w:footnote w:type="continuationSeparator" w:id="0">
    <w:p w14:paraId="5C548680" w14:textId="77777777" w:rsidR="0067642A" w:rsidRDefault="0067642A" w:rsidP="00E51E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4A2CCD" w14:textId="2174178A" w:rsidR="0067642A" w:rsidRPr="00E51E13" w:rsidRDefault="0067642A" w:rsidP="00E51E13">
    <w:pPr>
      <w:pStyle w:val="Header"/>
      <w:jc w:val="center"/>
      <w:rPr>
        <w:b/>
        <w:sz w:val="24"/>
        <w:szCs w:val="24"/>
      </w:rPr>
    </w:pPr>
    <w:r w:rsidRPr="00E51E13">
      <w:rPr>
        <w:b/>
        <w:sz w:val="24"/>
        <w:szCs w:val="24"/>
      </w:rPr>
      <w:t>Anaheim Public Utilities</w:t>
    </w:r>
  </w:p>
  <w:p w14:paraId="6BA5919B" w14:textId="0BB94AA1" w:rsidR="0067642A" w:rsidRPr="00E51E13" w:rsidRDefault="0067642A" w:rsidP="00E51E13">
    <w:pPr>
      <w:pStyle w:val="Header"/>
      <w:jc w:val="center"/>
      <w:rPr>
        <w:b/>
        <w:sz w:val="24"/>
        <w:szCs w:val="24"/>
      </w:rPr>
    </w:pPr>
    <w:r w:rsidRPr="00E51E13">
      <w:rPr>
        <w:b/>
        <w:sz w:val="24"/>
        <w:szCs w:val="24"/>
      </w:rPr>
      <w:t>Estimated Cost Impacts of Legislation Impacting Electric Operations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390512"/>
    <w:multiLevelType w:val="hybridMultilevel"/>
    <w:tmpl w:val="1A84ADF6"/>
    <w:lvl w:ilvl="0" w:tplc="9AA8B534">
      <w:numFmt w:val="decimal"/>
      <w:lvlText w:val="%1."/>
      <w:lvlJc w:val="left"/>
      <w:pPr>
        <w:ind w:left="855" w:hanging="4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EA5815"/>
    <w:multiLevelType w:val="hybridMultilevel"/>
    <w:tmpl w:val="B3D0E2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53FA5F05"/>
    <w:multiLevelType w:val="hybridMultilevel"/>
    <w:tmpl w:val="E6D077B0"/>
    <w:lvl w:ilvl="0" w:tplc="E74289C6">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CAC18D8"/>
    <w:multiLevelType w:val="hybridMultilevel"/>
    <w:tmpl w:val="931AD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98375563">
    <w:abstractNumId w:val="3"/>
  </w:num>
  <w:num w:numId="2" w16cid:durableId="982735695">
    <w:abstractNumId w:val="2"/>
  </w:num>
  <w:num w:numId="3" w16cid:durableId="398135458">
    <w:abstractNumId w:val="1"/>
  </w:num>
  <w:num w:numId="4" w16cid:durableId="4501738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4"/>
  <w:proofState w:spelling="clean" w:grammar="clean"/>
  <w:defaultTabStop w:val="720"/>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E13"/>
    <w:rsid w:val="00004E7F"/>
    <w:rsid w:val="000052B6"/>
    <w:rsid w:val="0000535C"/>
    <w:rsid w:val="000074BE"/>
    <w:rsid w:val="0000790F"/>
    <w:rsid w:val="00010EFA"/>
    <w:rsid w:val="00012656"/>
    <w:rsid w:val="000242EE"/>
    <w:rsid w:val="00025167"/>
    <w:rsid w:val="00025901"/>
    <w:rsid w:val="00031F1F"/>
    <w:rsid w:val="00035DA4"/>
    <w:rsid w:val="00044BF8"/>
    <w:rsid w:val="000512D5"/>
    <w:rsid w:val="0005193E"/>
    <w:rsid w:val="00052FFE"/>
    <w:rsid w:val="00056F07"/>
    <w:rsid w:val="00057EA7"/>
    <w:rsid w:val="00061959"/>
    <w:rsid w:val="00063C6C"/>
    <w:rsid w:val="00064C5D"/>
    <w:rsid w:val="0007126A"/>
    <w:rsid w:val="00073E29"/>
    <w:rsid w:val="0008032C"/>
    <w:rsid w:val="00080BBA"/>
    <w:rsid w:val="000829CA"/>
    <w:rsid w:val="00083513"/>
    <w:rsid w:val="000839C9"/>
    <w:rsid w:val="000904EE"/>
    <w:rsid w:val="00093CBF"/>
    <w:rsid w:val="0009549D"/>
    <w:rsid w:val="00096ED2"/>
    <w:rsid w:val="000A026A"/>
    <w:rsid w:val="000A388B"/>
    <w:rsid w:val="000B3D46"/>
    <w:rsid w:val="000B61AF"/>
    <w:rsid w:val="000C10B3"/>
    <w:rsid w:val="000C1FE3"/>
    <w:rsid w:val="000C530C"/>
    <w:rsid w:val="000D7B94"/>
    <w:rsid w:val="000E1BEA"/>
    <w:rsid w:val="000E2262"/>
    <w:rsid w:val="000E753B"/>
    <w:rsid w:val="000F0085"/>
    <w:rsid w:val="000F0377"/>
    <w:rsid w:val="001050EF"/>
    <w:rsid w:val="00113554"/>
    <w:rsid w:val="00114572"/>
    <w:rsid w:val="00114D57"/>
    <w:rsid w:val="00120CB8"/>
    <w:rsid w:val="00122EB5"/>
    <w:rsid w:val="00143C22"/>
    <w:rsid w:val="00147EEC"/>
    <w:rsid w:val="00157108"/>
    <w:rsid w:val="001652C9"/>
    <w:rsid w:val="00171642"/>
    <w:rsid w:val="00176CD5"/>
    <w:rsid w:val="00176D47"/>
    <w:rsid w:val="001A1E44"/>
    <w:rsid w:val="001B0333"/>
    <w:rsid w:val="001B03F9"/>
    <w:rsid w:val="001B4ED9"/>
    <w:rsid w:val="001C044F"/>
    <w:rsid w:val="001C2DBC"/>
    <w:rsid w:val="001C5DA0"/>
    <w:rsid w:val="001C74D8"/>
    <w:rsid w:val="001D202C"/>
    <w:rsid w:val="001D6BDB"/>
    <w:rsid w:val="001D70CD"/>
    <w:rsid w:val="001E3E39"/>
    <w:rsid w:val="001F0D97"/>
    <w:rsid w:val="001F21AD"/>
    <w:rsid w:val="001F474E"/>
    <w:rsid w:val="001F53EE"/>
    <w:rsid w:val="002004BA"/>
    <w:rsid w:val="0020288D"/>
    <w:rsid w:val="00212B21"/>
    <w:rsid w:val="00225837"/>
    <w:rsid w:val="00233BF2"/>
    <w:rsid w:val="0024297E"/>
    <w:rsid w:val="00260147"/>
    <w:rsid w:val="00261B09"/>
    <w:rsid w:val="002642E8"/>
    <w:rsid w:val="00267B1C"/>
    <w:rsid w:val="00275CEF"/>
    <w:rsid w:val="002809F7"/>
    <w:rsid w:val="00280A1E"/>
    <w:rsid w:val="00281032"/>
    <w:rsid w:val="0028116F"/>
    <w:rsid w:val="00286AB5"/>
    <w:rsid w:val="0029151C"/>
    <w:rsid w:val="00292279"/>
    <w:rsid w:val="00293F64"/>
    <w:rsid w:val="0029611B"/>
    <w:rsid w:val="002969AD"/>
    <w:rsid w:val="002A7DFB"/>
    <w:rsid w:val="002B00F2"/>
    <w:rsid w:val="002C7A9C"/>
    <w:rsid w:val="002D1231"/>
    <w:rsid w:val="002D14B6"/>
    <w:rsid w:val="002D2E7A"/>
    <w:rsid w:val="002D6647"/>
    <w:rsid w:val="002D735A"/>
    <w:rsid w:val="002E60F8"/>
    <w:rsid w:val="002E622F"/>
    <w:rsid w:val="002E7445"/>
    <w:rsid w:val="002F194C"/>
    <w:rsid w:val="002F4C1A"/>
    <w:rsid w:val="002F5930"/>
    <w:rsid w:val="0030165C"/>
    <w:rsid w:val="00303188"/>
    <w:rsid w:val="0030613E"/>
    <w:rsid w:val="003070A0"/>
    <w:rsid w:val="003117A5"/>
    <w:rsid w:val="00316886"/>
    <w:rsid w:val="0031715B"/>
    <w:rsid w:val="003201E7"/>
    <w:rsid w:val="003239A3"/>
    <w:rsid w:val="00326991"/>
    <w:rsid w:val="00330EDA"/>
    <w:rsid w:val="00332DED"/>
    <w:rsid w:val="003368A7"/>
    <w:rsid w:val="00336EFA"/>
    <w:rsid w:val="00341A85"/>
    <w:rsid w:val="00344326"/>
    <w:rsid w:val="003444DF"/>
    <w:rsid w:val="00344F92"/>
    <w:rsid w:val="00345DFB"/>
    <w:rsid w:val="0035075C"/>
    <w:rsid w:val="00351394"/>
    <w:rsid w:val="003652C1"/>
    <w:rsid w:val="00366A56"/>
    <w:rsid w:val="00367CB7"/>
    <w:rsid w:val="00370774"/>
    <w:rsid w:val="00377671"/>
    <w:rsid w:val="00382B5A"/>
    <w:rsid w:val="00383DEB"/>
    <w:rsid w:val="0039260A"/>
    <w:rsid w:val="003951DF"/>
    <w:rsid w:val="00395869"/>
    <w:rsid w:val="003A16AE"/>
    <w:rsid w:val="003A26EE"/>
    <w:rsid w:val="003A2EC0"/>
    <w:rsid w:val="003A46C8"/>
    <w:rsid w:val="003B1F96"/>
    <w:rsid w:val="003C553B"/>
    <w:rsid w:val="003D1E97"/>
    <w:rsid w:val="003D467C"/>
    <w:rsid w:val="003D6D9E"/>
    <w:rsid w:val="003D7102"/>
    <w:rsid w:val="003E39FF"/>
    <w:rsid w:val="003E70A4"/>
    <w:rsid w:val="003E7912"/>
    <w:rsid w:val="003F0FC8"/>
    <w:rsid w:val="003F1BE9"/>
    <w:rsid w:val="003F7282"/>
    <w:rsid w:val="00405831"/>
    <w:rsid w:val="00405B5C"/>
    <w:rsid w:val="004069BC"/>
    <w:rsid w:val="00410DC5"/>
    <w:rsid w:val="004310DA"/>
    <w:rsid w:val="00434723"/>
    <w:rsid w:val="00440599"/>
    <w:rsid w:val="00441E96"/>
    <w:rsid w:val="004421BC"/>
    <w:rsid w:val="00442AD9"/>
    <w:rsid w:val="00443F4A"/>
    <w:rsid w:val="00463B30"/>
    <w:rsid w:val="00466804"/>
    <w:rsid w:val="00467DCF"/>
    <w:rsid w:val="00474B35"/>
    <w:rsid w:val="004814EB"/>
    <w:rsid w:val="004873C7"/>
    <w:rsid w:val="00487D73"/>
    <w:rsid w:val="004944D8"/>
    <w:rsid w:val="004B0274"/>
    <w:rsid w:val="004B0AA8"/>
    <w:rsid w:val="004B7A11"/>
    <w:rsid w:val="004C29DE"/>
    <w:rsid w:val="004C3B42"/>
    <w:rsid w:val="004C403A"/>
    <w:rsid w:val="004C59FE"/>
    <w:rsid w:val="004C5B93"/>
    <w:rsid w:val="004C6B06"/>
    <w:rsid w:val="004C6D50"/>
    <w:rsid w:val="004D0386"/>
    <w:rsid w:val="004D1BD4"/>
    <w:rsid w:val="004D20BE"/>
    <w:rsid w:val="004D3133"/>
    <w:rsid w:val="004D6244"/>
    <w:rsid w:val="004D7DC2"/>
    <w:rsid w:val="004E064F"/>
    <w:rsid w:val="004E618E"/>
    <w:rsid w:val="004F1568"/>
    <w:rsid w:val="004F27C3"/>
    <w:rsid w:val="004F2A73"/>
    <w:rsid w:val="00501557"/>
    <w:rsid w:val="00513488"/>
    <w:rsid w:val="0051380B"/>
    <w:rsid w:val="005278BE"/>
    <w:rsid w:val="005306A4"/>
    <w:rsid w:val="00531D25"/>
    <w:rsid w:val="00545B74"/>
    <w:rsid w:val="00554DDF"/>
    <w:rsid w:val="0056036C"/>
    <w:rsid w:val="00560E6A"/>
    <w:rsid w:val="0056404C"/>
    <w:rsid w:val="00566B2D"/>
    <w:rsid w:val="00572725"/>
    <w:rsid w:val="00574C98"/>
    <w:rsid w:val="0059010E"/>
    <w:rsid w:val="005924EC"/>
    <w:rsid w:val="005A0B19"/>
    <w:rsid w:val="005B2BF9"/>
    <w:rsid w:val="005B6A9E"/>
    <w:rsid w:val="005C343D"/>
    <w:rsid w:val="005D6F6E"/>
    <w:rsid w:val="005E39CC"/>
    <w:rsid w:val="005E6C2A"/>
    <w:rsid w:val="005E7E7D"/>
    <w:rsid w:val="005F200C"/>
    <w:rsid w:val="005F558D"/>
    <w:rsid w:val="005F63E7"/>
    <w:rsid w:val="005F7BC7"/>
    <w:rsid w:val="0060074D"/>
    <w:rsid w:val="0060523A"/>
    <w:rsid w:val="00611CB3"/>
    <w:rsid w:val="00614378"/>
    <w:rsid w:val="00614F65"/>
    <w:rsid w:val="00620A17"/>
    <w:rsid w:val="00624FA0"/>
    <w:rsid w:val="00626133"/>
    <w:rsid w:val="00631EA2"/>
    <w:rsid w:val="00641EA4"/>
    <w:rsid w:val="00647AE6"/>
    <w:rsid w:val="00654FFE"/>
    <w:rsid w:val="00672710"/>
    <w:rsid w:val="00673FC2"/>
    <w:rsid w:val="0067642A"/>
    <w:rsid w:val="00676A10"/>
    <w:rsid w:val="00683BF5"/>
    <w:rsid w:val="00687FA7"/>
    <w:rsid w:val="00697468"/>
    <w:rsid w:val="006A2D91"/>
    <w:rsid w:val="006B76AE"/>
    <w:rsid w:val="006C253B"/>
    <w:rsid w:val="006C2854"/>
    <w:rsid w:val="006D393D"/>
    <w:rsid w:val="006E0F33"/>
    <w:rsid w:val="006F0C4B"/>
    <w:rsid w:val="006F24B8"/>
    <w:rsid w:val="006F7394"/>
    <w:rsid w:val="00705D7B"/>
    <w:rsid w:val="00706E3E"/>
    <w:rsid w:val="0071172C"/>
    <w:rsid w:val="00716A0E"/>
    <w:rsid w:val="0072024D"/>
    <w:rsid w:val="00726CA7"/>
    <w:rsid w:val="007302F1"/>
    <w:rsid w:val="007309EA"/>
    <w:rsid w:val="00731A35"/>
    <w:rsid w:val="00731B1F"/>
    <w:rsid w:val="00732EFD"/>
    <w:rsid w:val="00733505"/>
    <w:rsid w:val="0073456D"/>
    <w:rsid w:val="00742D8B"/>
    <w:rsid w:val="007467F6"/>
    <w:rsid w:val="007526D6"/>
    <w:rsid w:val="007537F8"/>
    <w:rsid w:val="007620D2"/>
    <w:rsid w:val="00762276"/>
    <w:rsid w:val="0076259C"/>
    <w:rsid w:val="00765198"/>
    <w:rsid w:val="00765909"/>
    <w:rsid w:val="007720C0"/>
    <w:rsid w:val="00772467"/>
    <w:rsid w:val="00776EF7"/>
    <w:rsid w:val="00777861"/>
    <w:rsid w:val="007842A3"/>
    <w:rsid w:val="007856D6"/>
    <w:rsid w:val="00785FD2"/>
    <w:rsid w:val="007970A1"/>
    <w:rsid w:val="007A05C7"/>
    <w:rsid w:val="007A3861"/>
    <w:rsid w:val="007B154B"/>
    <w:rsid w:val="007C2874"/>
    <w:rsid w:val="007C42C5"/>
    <w:rsid w:val="007C4948"/>
    <w:rsid w:val="007C51AD"/>
    <w:rsid w:val="007E331C"/>
    <w:rsid w:val="007E34B5"/>
    <w:rsid w:val="007E5074"/>
    <w:rsid w:val="007E5F55"/>
    <w:rsid w:val="007E769C"/>
    <w:rsid w:val="007F26F7"/>
    <w:rsid w:val="007F2CAC"/>
    <w:rsid w:val="00803201"/>
    <w:rsid w:val="008109F2"/>
    <w:rsid w:val="00811119"/>
    <w:rsid w:val="00816009"/>
    <w:rsid w:val="008355F4"/>
    <w:rsid w:val="008407B3"/>
    <w:rsid w:val="0084366D"/>
    <w:rsid w:val="00844A11"/>
    <w:rsid w:val="00850973"/>
    <w:rsid w:val="0085535A"/>
    <w:rsid w:val="0085544E"/>
    <w:rsid w:val="00857A4B"/>
    <w:rsid w:val="00861A52"/>
    <w:rsid w:val="00865EA5"/>
    <w:rsid w:val="00875C18"/>
    <w:rsid w:val="00890364"/>
    <w:rsid w:val="00893668"/>
    <w:rsid w:val="00896521"/>
    <w:rsid w:val="008A25A8"/>
    <w:rsid w:val="008A28FB"/>
    <w:rsid w:val="008B424C"/>
    <w:rsid w:val="008B4C1C"/>
    <w:rsid w:val="008B6A90"/>
    <w:rsid w:val="008C0445"/>
    <w:rsid w:val="008D3DA9"/>
    <w:rsid w:val="008D5884"/>
    <w:rsid w:val="008E3E9E"/>
    <w:rsid w:val="008E4D42"/>
    <w:rsid w:val="008F0444"/>
    <w:rsid w:val="00900628"/>
    <w:rsid w:val="00900A25"/>
    <w:rsid w:val="009110A7"/>
    <w:rsid w:val="00914951"/>
    <w:rsid w:val="00920E8A"/>
    <w:rsid w:val="009243FA"/>
    <w:rsid w:val="00924B38"/>
    <w:rsid w:val="00926145"/>
    <w:rsid w:val="00932E5F"/>
    <w:rsid w:val="0093750D"/>
    <w:rsid w:val="00942EFB"/>
    <w:rsid w:val="00947041"/>
    <w:rsid w:val="00952754"/>
    <w:rsid w:val="00952C0C"/>
    <w:rsid w:val="00952D04"/>
    <w:rsid w:val="00952DE2"/>
    <w:rsid w:val="00952FB6"/>
    <w:rsid w:val="00957B22"/>
    <w:rsid w:val="00961C05"/>
    <w:rsid w:val="00973C1A"/>
    <w:rsid w:val="00974CC4"/>
    <w:rsid w:val="00980C4E"/>
    <w:rsid w:val="00984BB2"/>
    <w:rsid w:val="00985002"/>
    <w:rsid w:val="00986A8B"/>
    <w:rsid w:val="00993EE6"/>
    <w:rsid w:val="00993FB0"/>
    <w:rsid w:val="00995CC0"/>
    <w:rsid w:val="009961F9"/>
    <w:rsid w:val="009A0265"/>
    <w:rsid w:val="009B20BC"/>
    <w:rsid w:val="009B6759"/>
    <w:rsid w:val="009B6CEA"/>
    <w:rsid w:val="009C6F6C"/>
    <w:rsid w:val="009D2585"/>
    <w:rsid w:val="009D3028"/>
    <w:rsid w:val="009E0322"/>
    <w:rsid w:val="009E09AF"/>
    <w:rsid w:val="009E7F84"/>
    <w:rsid w:val="009F0973"/>
    <w:rsid w:val="009F2E7E"/>
    <w:rsid w:val="009F7DBC"/>
    <w:rsid w:val="00A010C4"/>
    <w:rsid w:val="00A01603"/>
    <w:rsid w:val="00A06FEF"/>
    <w:rsid w:val="00A12A91"/>
    <w:rsid w:val="00A14565"/>
    <w:rsid w:val="00A33D2A"/>
    <w:rsid w:val="00A33FAE"/>
    <w:rsid w:val="00A4108D"/>
    <w:rsid w:val="00A427B0"/>
    <w:rsid w:val="00A439F2"/>
    <w:rsid w:val="00A43C6D"/>
    <w:rsid w:val="00A44A11"/>
    <w:rsid w:val="00A472BB"/>
    <w:rsid w:val="00A507F4"/>
    <w:rsid w:val="00A638D1"/>
    <w:rsid w:val="00A6403E"/>
    <w:rsid w:val="00A70F54"/>
    <w:rsid w:val="00A746E0"/>
    <w:rsid w:val="00A74B4D"/>
    <w:rsid w:val="00A80EAA"/>
    <w:rsid w:val="00AA094D"/>
    <w:rsid w:val="00AA3B35"/>
    <w:rsid w:val="00AC0305"/>
    <w:rsid w:val="00AC16C1"/>
    <w:rsid w:val="00AC1D20"/>
    <w:rsid w:val="00AC38BD"/>
    <w:rsid w:val="00AC5F58"/>
    <w:rsid w:val="00AC78E4"/>
    <w:rsid w:val="00AD1C66"/>
    <w:rsid w:val="00AD74E5"/>
    <w:rsid w:val="00AF13A0"/>
    <w:rsid w:val="00AF1656"/>
    <w:rsid w:val="00B02A75"/>
    <w:rsid w:val="00B05549"/>
    <w:rsid w:val="00B07990"/>
    <w:rsid w:val="00B20583"/>
    <w:rsid w:val="00B2556F"/>
    <w:rsid w:val="00B267AC"/>
    <w:rsid w:val="00B41CF6"/>
    <w:rsid w:val="00B42A29"/>
    <w:rsid w:val="00B458F6"/>
    <w:rsid w:val="00B45D43"/>
    <w:rsid w:val="00B5362A"/>
    <w:rsid w:val="00B6046A"/>
    <w:rsid w:val="00B63981"/>
    <w:rsid w:val="00B70AD0"/>
    <w:rsid w:val="00B70E9B"/>
    <w:rsid w:val="00B74230"/>
    <w:rsid w:val="00B9539A"/>
    <w:rsid w:val="00B96C98"/>
    <w:rsid w:val="00BA2E51"/>
    <w:rsid w:val="00BA7B91"/>
    <w:rsid w:val="00BB0BD4"/>
    <w:rsid w:val="00BB2501"/>
    <w:rsid w:val="00BC13CD"/>
    <w:rsid w:val="00BC14A7"/>
    <w:rsid w:val="00BD1095"/>
    <w:rsid w:val="00BD178E"/>
    <w:rsid w:val="00BD45E5"/>
    <w:rsid w:val="00BE7980"/>
    <w:rsid w:val="00BF17AA"/>
    <w:rsid w:val="00BF2498"/>
    <w:rsid w:val="00BF5779"/>
    <w:rsid w:val="00C02298"/>
    <w:rsid w:val="00C02F0D"/>
    <w:rsid w:val="00C03256"/>
    <w:rsid w:val="00C036A3"/>
    <w:rsid w:val="00C11C18"/>
    <w:rsid w:val="00C24A94"/>
    <w:rsid w:val="00C24E94"/>
    <w:rsid w:val="00C25A15"/>
    <w:rsid w:val="00C312C1"/>
    <w:rsid w:val="00C32AE8"/>
    <w:rsid w:val="00C45E2B"/>
    <w:rsid w:val="00C55DB5"/>
    <w:rsid w:val="00C61411"/>
    <w:rsid w:val="00C86298"/>
    <w:rsid w:val="00C93698"/>
    <w:rsid w:val="00CA7FBC"/>
    <w:rsid w:val="00CB43D5"/>
    <w:rsid w:val="00CB4429"/>
    <w:rsid w:val="00CB7CE5"/>
    <w:rsid w:val="00CC0BAF"/>
    <w:rsid w:val="00CC1C8B"/>
    <w:rsid w:val="00CC1C95"/>
    <w:rsid w:val="00CC7509"/>
    <w:rsid w:val="00CC7B6C"/>
    <w:rsid w:val="00CD4BB4"/>
    <w:rsid w:val="00CE2BFD"/>
    <w:rsid w:val="00CE3C82"/>
    <w:rsid w:val="00CE5124"/>
    <w:rsid w:val="00CF0443"/>
    <w:rsid w:val="00CF2B49"/>
    <w:rsid w:val="00D01B9F"/>
    <w:rsid w:val="00D049C0"/>
    <w:rsid w:val="00D11FB6"/>
    <w:rsid w:val="00D141D7"/>
    <w:rsid w:val="00D15804"/>
    <w:rsid w:val="00D247D9"/>
    <w:rsid w:val="00D30A2A"/>
    <w:rsid w:val="00D33C26"/>
    <w:rsid w:val="00D367B9"/>
    <w:rsid w:val="00D42EE1"/>
    <w:rsid w:val="00D468B9"/>
    <w:rsid w:val="00D472E8"/>
    <w:rsid w:val="00D520C1"/>
    <w:rsid w:val="00D52E2C"/>
    <w:rsid w:val="00D52F9D"/>
    <w:rsid w:val="00D54952"/>
    <w:rsid w:val="00D55E2C"/>
    <w:rsid w:val="00D56DA8"/>
    <w:rsid w:val="00D5706D"/>
    <w:rsid w:val="00D57415"/>
    <w:rsid w:val="00D63C91"/>
    <w:rsid w:val="00D6499F"/>
    <w:rsid w:val="00D65FE9"/>
    <w:rsid w:val="00D7530B"/>
    <w:rsid w:val="00D82179"/>
    <w:rsid w:val="00D84F7D"/>
    <w:rsid w:val="00D87976"/>
    <w:rsid w:val="00D87C50"/>
    <w:rsid w:val="00D955D9"/>
    <w:rsid w:val="00D95733"/>
    <w:rsid w:val="00D97F19"/>
    <w:rsid w:val="00DA384F"/>
    <w:rsid w:val="00DA4C87"/>
    <w:rsid w:val="00DB28A7"/>
    <w:rsid w:val="00DB3E1A"/>
    <w:rsid w:val="00DB42D4"/>
    <w:rsid w:val="00DB59CB"/>
    <w:rsid w:val="00DC4826"/>
    <w:rsid w:val="00DC49DA"/>
    <w:rsid w:val="00DD16D0"/>
    <w:rsid w:val="00DD2894"/>
    <w:rsid w:val="00DD2C38"/>
    <w:rsid w:val="00DE200C"/>
    <w:rsid w:val="00DE2C5C"/>
    <w:rsid w:val="00DE7BF4"/>
    <w:rsid w:val="00E00457"/>
    <w:rsid w:val="00E060C4"/>
    <w:rsid w:val="00E071D9"/>
    <w:rsid w:val="00E22BA7"/>
    <w:rsid w:val="00E256DD"/>
    <w:rsid w:val="00E37734"/>
    <w:rsid w:val="00E37E75"/>
    <w:rsid w:val="00E43102"/>
    <w:rsid w:val="00E4328E"/>
    <w:rsid w:val="00E452B9"/>
    <w:rsid w:val="00E50A4D"/>
    <w:rsid w:val="00E51E13"/>
    <w:rsid w:val="00E53748"/>
    <w:rsid w:val="00E54490"/>
    <w:rsid w:val="00E561DD"/>
    <w:rsid w:val="00E5724A"/>
    <w:rsid w:val="00E610FE"/>
    <w:rsid w:val="00E611C4"/>
    <w:rsid w:val="00E644FC"/>
    <w:rsid w:val="00E67285"/>
    <w:rsid w:val="00E718C4"/>
    <w:rsid w:val="00E76CB6"/>
    <w:rsid w:val="00E80418"/>
    <w:rsid w:val="00E81F8D"/>
    <w:rsid w:val="00E83A00"/>
    <w:rsid w:val="00E83E18"/>
    <w:rsid w:val="00E84208"/>
    <w:rsid w:val="00E84606"/>
    <w:rsid w:val="00E8679E"/>
    <w:rsid w:val="00E96DD4"/>
    <w:rsid w:val="00E97684"/>
    <w:rsid w:val="00EA2E50"/>
    <w:rsid w:val="00EA428A"/>
    <w:rsid w:val="00EB02D5"/>
    <w:rsid w:val="00EB2155"/>
    <w:rsid w:val="00EB6BA5"/>
    <w:rsid w:val="00EC020C"/>
    <w:rsid w:val="00EC0303"/>
    <w:rsid w:val="00EC0B9D"/>
    <w:rsid w:val="00EC0FCF"/>
    <w:rsid w:val="00EC3DF6"/>
    <w:rsid w:val="00EC77EC"/>
    <w:rsid w:val="00EC78F3"/>
    <w:rsid w:val="00ED39D7"/>
    <w:rsid w:val="00EE3EB6"/>
    <w:rsid w:val="00EE59E8"/>
    <w:rsid w:val="00EE5BD8"/>
    <w:rsid w:val="00EF334B"/>
    <w:rsid w:val="00EF7AF0"/>
    <w:rsid w:val="00F00606"/>
    <w:rsid w:val="00F0277E"/>
    <w:rsid w:val="00F04934"/>
    <w:rsid w:val="00F1305B"/>
    <w:rsid w:val="00F17D18"/>
    <w:rsid w:val="00F21ED8"/>
    <w:rsid w:val="00F249F0"/>
    <w:rsid w:val="00F27B90"/>
    <w:rsid w:val="00F308B4"/>
    <w:rsid w:val="00F37204"/>
    <w:rsid w:val="00F40D55"/>
    <w:rsid w:val="00F4613D"/>
    <w:rsid w:val="00F507F0"/>
    <w:rsid w:val="00F5335E"/>
    <w:rsid w:val="00F621EB"/>
    <w:rsid w:val="00F660EB"/>
    <w:rsid w:val="00F70D32"/>
    <w:rsid w:val="00F815EC"/>
    <w:rsid w:val="00F865F0"/>
    <w:rsid w:val="00F91F9E"/>
    <w:rsid w:val="00F94078"/>
    <w:rsid w:val="00FA1328"/>
    <w:rsid w:val="00FA3954"/>
    <w:rsid w:val="00FB38AB"/>
    <w:rsid w:val="00FB75E1"/>
    <w:rsid w:val="00FB77BF"/>
    <w:rsid w:val="00FC5A6B"/>
    <w:rsid w:val="00FC5BEF"/>
    <w:rsid w:val="00FC66B4"/>
    <w:rsid w:val="00FD1BAF"/>
    <w:rsid w:val="00FD3A9A"/>
    <w:rsid w:val="00FF471F"/>
    <w:rsid w:val="00FF61D3"/>
    <w:rsid w:val="00FF76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4:docId w14:val="76EC897A"/>
  <w15:docId w15:val="{5ABD0A9B-E523-44B6-BEF9-3FEA49C66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67CB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1E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1E13"/>
  </w:style>
  <w:style w:type="paragraph" w:styleId="Footer">
    <w:name w:val="footer"/>
    <w:basedOn w:val="Normal"/>
    <w:link w:val="FooterChar"/>
    <w:uiPriority w:val="99"/>
    <w:unhideWhenUsed/>
    <w:rsid w:val="00E51E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1E13"/>
  </w:style>
  <w:style w:type="character" w:styleId="CommentReference">
    <w:name w:val="annotation reference"/>
    <w:basedOn w:val="DefaultParagraphFont"/>
    <w:uiPriority w:val="99"/>
    <w:semiHidden/>
    <w:unhideWhenUsed/>
    <w:rsid w:val="00B02A75"/>
    <w:rPr>
      <w:sz w:val="16"/>
      <w:szCs w:val="16"/>
    </w:rPr>
  </w:style>
  <w:style w:type="paragraph" w:styleId="CommentText">
    <w:name w:val="annotation text"/>
    <w:basedOn w:val="Normal"/>
    <w:link w:val="CommentTextChar"/>
    <w:uiPriority w:val="99"/>
    <w:unhideWhenUsed/>
    <w:rsid w:val="00B02A75"/>
    <w:pPr>
      <w:spacing w:line="240" w:lineRule="auto"/>
    </w:pPr>
    <w:rPr>
      <w:sz w:val="20"/>
      <w:szCs w:val="20"/>
    </w:rPr>
  </w:style>
  <w:style w:type="character" w:customStyle="1" w:styleId="CommentTextChar">
    <w:name w:val="Comment Text Char"/>
    <w:basedOn w:val="DefaultParagraphFont"/>
    <w:link w:val="CommentText"/>
    <w:uiPriority w:val="99"/>
    <w:rsid w:val="00B02A75"/>
    <w:rPr>
      <w:sz w:val="20"/>
      <w:szCs w:val="20"/>
    </w:rPr>
  </w:style>
  <w:style w:type="paragraph" w:styleId="CommentSubject">
    <w:name w:val="annotation subject"/>
    <w:basedOn w:val="CommentText"/>
    <w:next w:val="CommentText"/>
    <w:link w:val="CommentSubjectChar"/>
    <w:uiPriority w:val="99"/>
    <w:semiHidden/>
    <w:unhideWhenUsed/>
    <w:rsid w:val="00B02A75"/>
    <w:rPr>
      <w:b/>
      <w:bCs/>
    </w:rPr>
  </w:style>
  <w:style w:type="character" w:customStyle="1" w:styleId="CommentSubjectChar">
    <w:name w:val="Comment Subject Char"/>
    <w:basedOn w:val="CommentTextChar"/>
    <w:link w:val="CommentSubject"/>
    <w:uiPriority w:val="99"/>
    <w:semiHidden/>
    <w:rsid w:val="00B02A75"/>
    <w:rPr>
      <w:b/>
      <w:bCs/>
      <w:sz w:val="20"/>
      <w:szCs w:val="20"/>
    </w:rPr>
  </w:style>
  <w:style w:type="paragraph" w:styleId="BalloonText">
    <w:name w:val="Balloon Text"/>
    <w:basedOn w:val="Normal"/>
    <w:link w:val="BalloonTextChar"/>
    <w:uiPriority w:val="99"/>
    <w:semiHidden/>
    <w:unhideWhenUsed/>
    <w:rsid w:val="00B02A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2A75"/>
    <w:rPr>
      <w:rFonts w:ascii="Tahoma" w:hAnsi="Tahoma" w:cs="Tahoma"/>
      <w:sz w:val="16"/>
      <w:szCs w:val="16"/>
    </w:rPr>
  </w:style>
  <w:style w:type="paragraph" w:styleId="ListParagraph">
    <w:name w:val="List Paragraph"/>
    <w:basedOn w:val="Normal"/>
    <w:uiPriority w:val="34"/>
    <w:qFormat/>
    <w:rsid w:val="006C253B"/>
    <w:pPr>
      <w:ind w:left="720"/>
      <w:contextualSpacing/>
    </w:pPr>
  </w:style>
  <w:style w:type="character" w:customStyle="1" w:styleId="Heading1Char">
    <w:name w:val="Heading 1 Char"/>
    <w:basedOn w:val="DefaultParagraphFont"/>
    <w:link w:val="Heading1"/>
    <w:uiPriority w:val="9"/>
    <w:rsid w:val="00367CB7"/>
    <w:rPr>
      <w:rFonts w:ascii="Times New Roman" w:eastAsia="Times New Roman" w:hAnsi="Times New Roman" w:cs="Times New Roman"/>
      <w:b/>
      <w:bCs/>
      <w:kern w:val="36"/>
      <w:sz w:val="48"/>
      <w:szCs w:val="48"/>
    </w:rPr>
  </w:style>
  <w:style w:type="paragraph" w:styleId="Revision">
    <w:name w:val="Revision"/>
    <w:hidden/>
    <w:uiPriority w:val="99"/>
    <w:semiHidden/>
    <w:rsid w:val="00FB38A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1597759">
      <w:bodyDiv w:val="1"/>
      <w:marLeft w:val="0"/>
      <w:marRight w:val="0"/>
      <w:marTop w:val="0"/>
      <w:marBottom w:val="0"/>
      <w:divBdr>
        <w:top w:val="none" w:sz="0" w:space="0" w:color="auto"/>
        <w:left w:val="none" w:sz="0" w:space="0" w:color="auto"/>
        <w:bottom w:val="none" w:sz="0" w:space="0" w:color="auto"/>
        <w:right w:val="none" w:sz="0" w:space="0" w:color="auto"/>
      </w:divBdr>
    </w:div>
    <w:div w:id="1419860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15D226-8E73-4A06-BA47-EA248D9AB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3490</Words>
  <Characters>19894</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City of Anaheim</Company>
  <LinksUpToDate>false</LinksUpToDate>
  <CharactersWithSpaces>23338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City of Anaheim</dc:creator>
  <cp:lastModifiedBy>Sarah Bartczak</cp:lastModifiedBy>
  <cp:revision>2</cp:revision>
  <cp:lastPrinted>2024-10-01T21:54:00Z</cp:lastPrinted>
  <dcterms:created xsi:type="dcterms:W3CDTF">2024-10-14T19:20:00Z</dcterms:created>
  <dcterms:modified xsi:type="dcterms:W3CDTF">2024-10-14T19:20:00Z</dcterms:modified>
</cp:coreProperties>
</file>