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1"/>
        <w:tblOverlap w:val="never"/>
        <w:tblW w:w="14502" w:type="dxa"/>
        <w:tblLook w:val="04A0" w:firstRow="1" w:lastRow="0" w:firstColumn="1" w:lastColumn="0" w:noHBand="0" w:noVBand="1"/>
      </w:tblPr>
      <w:tblGrid>
        <w:gridCol w:w="618"/>
        <w:gridCol w:w="102"/>
        <w:gridCol w:w="5400"/>
        <w:gridCol w:w="3330"/>
        <w:gridCol w:w="1710"/>
        <w:gridCol w:w="3330"/>
        <w:gridCol w:w="12"/>
      </w:tblGrid>
      <w:tr w:rsidR="009C3FB9" w:rsidRPr="005002AE" w14:paraId="522E07D1" w14:textId="77777777" w:rsidTr="00BF61A9">
        <w:trPr>
          <w:gridAfter w:val="1"/>
          <w:wAfter w:w="12" w:type="dxa"/>
          <w:trHeight w:val="260"/>
        </w:trPr>
        <w:tc>
          <w:tcPr>
            <w:tcW w:w="618" w:type="dxa"/>
            <w:tcBorders>
              <w:top w:val="nil"/>
              <w:left w:val="nil"/>
              <w:bottom w:val="single" w:sz="4" w:space="0" w:color="auto"/>
              <w:right w:val="nil"/>
            </w:tcBorders>
            <w:noWrap/>
            <w:hideMark/>
          </w:tcPr>
          <w:p w14:paraId="0244518E" w14:textId="77777777" w:rsidR="009C3FB9" w:rsidRPr="005002AE" w:rsidRDefault="009C3FB9" w:rsidP="00BF61A9">
            <w:pPr>
              <w:rPr>
                <w:rFonts w:ascii="Calibri" w:eastAsia="Times New Roman" w:hAnsi="Calibri" w:cs="Times New Roman"/>
                <w:b/>
                <w:bCs/>
                <w:color w:val="000000"/>
                <w:sz w:val="18"/>
                <w:szCs w:val="18"/>
              </w:rPr>
            </w:pPr>
          </w:p>
        </w:tc>
        <w:tc>
          <w:tcPr>
            <w:tcW w:w="5502" w:type="dxa"/>
            <w:gridSpan w:val="2"/>
            <w:tcBorders>
              <w:top w:val="nil"/>
              <w:left w:val="nil"/>
              <w:bottom w:val="single" w:sz="4" w:space="0" w:color="auto"/>
              <w:right w:val="single" w:sz="4" w:space="0" w:color="auto"/>
            </w:tcBorders>
            <w:noWrap/>
            <w:hideMark/>
          </w:tcPr>
          <w:p w14:paraId="11F97746" w14:textId="77777777" w:rsidR="009C3FB9" w:rsidRPr="005002AE" w:rsidRDefault="009C3FB9" w:rsidP="00BF61A9">
            <w:pPr>
              <w:jc w:val="center"/>
              <w:rPr>
                <w:rFonts w:ascii="Calibri" w:eastAsia="Times New Roman" w:hAnsi="Calibri" w:cs="Times New Roman"/>
                <w:b/>
                <w:bCs/>
                <w:color w:val="000000"/>
                <w:sz w:val="18"/>
                <w:szCs w:val="18"/>
              </w:rPr>
            </w:pPr>
            <w:r w:rsidRPr="005002AE">
              <w:rPr>
                <w:rFonts w:ascii="Calibri" w:eastAsia="Times New Roman" w:hAnsi="Calibri" w:cs="Times New Roman"/>
                <w:b/>
                <w:bCs/>
                <w:color w:val="000000"/>
                <w:sz w:val="18"/>
                <w:szCs w:val="18"/>
              </w:rPr>
              <w:t xml:space="preserve"> </w:t>
            </w:r>
          </w:p>
        </w:tc>
        <w:tc>
          <w:tcPr>
            <w:tcW w:w="3330" w:type="dxa"/>
            <w:tcBorders>
              <w:left w:val="single" w:sz="4" w:space="0" w:color="auto"/>
            </w:tcBorders>
            <w:shd w:val="clear" w:color="auto" w:fill="F2DBDB" w:themeFill="accent2" w:themeFillTint="33"/>
            <w:vAlign w:val="center"/>
            <w:hideMark/>
          </w:tcPr>
          <w:p w14:paraId="2A61853C" w14:textId="77777777" w:rsidR="009C3FB9" w:rsidRPr="005002AE" w:rsidRDefault="009C3FB9" w:rsidP="00BF61A9">
            <w:pPr>
              <w:jc w:val="center"/>
              <w:rPr>
                <w:rFonts w:ascii="Calibri" w:eastAsia="Times New Roman" w:hAnsi="Calibri" w:cs="Times New Roman"/>
                <w:b/>
                <w:bCs/>
                <w:color w:val="000000"/>
              </w:rPr>
            </w:pPr>
            <w:r w:rsidRPr="005002AE">
              <w:rPr>
                <w:rFonts w:ascii="Calibri" w:eastAsia="Times New Roman" w:hAnsi="Calibri" w:cs="Times New Roman"/>
                <w:b/>
                <w:bCs/>
                <w:color w:val="000000"/>
              </w:rPr>
              <w:t xml:space="preserve">Estimated </w:t>
            </w:r>
            <w:r>
              <w:rPr>
                <w:rFonts w:ascii="Calibri" w:eastAsia="Times New Roman" w:hAnsi="Calibri" w:cs="Times New Roman"/>
                <w:b/>
                <w:bCs/>
                <w:color w:val="000000"/>
              </w:rPr>
              <w:t>Cost of Implementation</w:t>
            </w:r>
          </w:p>
        </w:tc>
        <w:tc>
          <w:tcPr>
            <w:tcW w:w="1710" w:type="dxa"/>
            <w:shd w:val="clear" w:color="auto" w:fill="E5DFEC" w:themeFill="accent4" w:themeFillTint="33"/>
            <w:vAlign w:val="center"/>
            <w:hideMark/>
          </w:tcPr>
          <w:p w14:paraId="7A41203E" w14:textId="77777777" w:rsidR="009C3FB9" w:rsidRPr="005002AE" w:rsidRDefault="009C3FB9" w:rsidP="00BF61A9">
            <w:pPr>
              <w:jc w:val="center"/>
              <w:rPr>
                <w:rFonts w:ascii="Calibri" w:eastAsia="Times New Roman" w:hAnsi="Calibri" w:cs="Times New Roman"/>
                <w:b/>
                <w:bCs/>
                <w:color w:val="000000"/>
              </w:rPr>
            </w:pPr>
            <w:r w:rsidRPr="005002AE">
              <w:rPr>
                <w:rFonts w:ascii="Calibri" w:eastAsia="Times New Roman" w:hAnsi="Calibri" w:cs="Times New Roman"/>
                <w:b/>
                <w:bCs/>
                <w:color w:val="000000"/>
              </w:rPr>
              <w:t>Estimated Rate Impact</w:t>
            </w:r>
          </w:p>
        </w:tc>
        <w:tc>
          <w:tcPr>
            <w:tcW w:w="3330" w:type="dxa"/>
            <w:shd w:val="clear" w:color="auto" w:fill="DAEEF3" w:themeFill="accent5" w:themeFillTint="33"/>
            <w:vAlign w:val="center"/>
            <w:hideMark/>
          </w:tcPr>
          <w:p w14:paraId="2F7ED55F" w14:textId="77777777" w:rsidR="009C3FB9" w:rsidRPr="005002AE" w:rsidRDefault="009C3FB9" w:rsidP="00BF61A9">
            <w:pPr>
              <w:jc w:val="center"/>
              <w:rPr>
                <w:rFonts w:ascii="Calibri" w:eastAsia="Times New Roman" w:hAnsi="Calibri" w:cs="Times New Roman"/>
                <w:b/>
                <w:bCs/>
                <w:color w:val="000000"/>
              </w:rPr>
            </w:pPr>
            <w:r w:rsidRPr="005002AE">
              <w:rPr>
                <w:rFonts w:ascii="Calibri" w:eastAsia="Times New Roman" w:hAnsi="Calibri" w:cs="Times New Roman"/>
                <w:b/>
                <w:bCs/>
                <w:color w:val="000000"/>
              </w:rPr>
              <w:t>Penalties / Other  Potential                                  Cost Impacts</w:t>
            </w:r>
          </w:p>
        </w:tc>
      </w:tr>
      <w:tr w:rsidR="00BF61A9" w:rsidRPr="005002AE" w14:paraId="59126A38" w14:textId="77777777" w:rsidTr="00BF61A9">
        <w:trPr>
          <w:cantSplit/>
          <w:trHeight w:val="275"/>
        </w:trPr>
        <w:tc>
          <w:tcPr>
            <w:tcW w:w="720" w:type="dxa"/>
            <w:gridSpan w:val="2"/>
            <w:vMerge w:val="restart"/>
            <w:shd w:val="clear" w:color="auto" w:fill="FDE9D9" w:themeFill="accent6" w:themeFillTint="33"/>
            <w:textDirection w:val="btLr"/>
            <w:vAlign w:val="center"/>
          </w:tcPr>
          <w:p w14:paraId="6756F7FE" w14:textId="6914BFF4" w:rsidR="00BF61A9" w:rsidRPr="005002AE" w:rsidRDefault="00BF61A9" w:rsidP="002E7769">
            <w:pPr>
              <w:jc w:val="center"/>
              <w:rPr>
                <w:rFonts w:ascii="Calibri" w:eastAsia="Times New Roman" w:hAnsi="Calibri" w:cs="Times New Roman"/>
                <w:color w:val="000000"/>
              </w:rPr>
            </w:pPr>
            <w:r>
              <w:rPr>
                <w:rFonts w:ascii="Calibri" w:eastAsia="Times New Roman" w:hAnsi="Calibri" w:cs="Times New Roman"/>
                <w:color w:val="000000"/>
              </w:rPr>
              <w:t>Water Conservation &amp; Efficient Use</w:t>
            </w:r>
          </w:p>
        </w:tc>
        <w:tc>
          <w:tcPr>
            <w:tcW w:w="5400" w:type="dxa"/>
            <w:tcBorders>
              <w:top w:val="single" w:sz="4" w:space="0" w:color="auto"/>
            </w:tcBorders>
            <w:vAlign w:val="center"/>
          </w:tcPr>
          <w:p w14:paraId="0E74C675" w14:textId="3CAF6918" w:rsidR="00BF61A9" w:rsidRPr="00CB4C7C" w:rsidRDefault="00BF61A9" w:rsidP="00BF61A9">
            <w:pPr>
              <w:rPr>
                <w:rFonts w:ascii="Calibri" w:eastAsia="Times New Roman" w:hAnsi="Calibri" w:cs="Times New Roman"/>
                <w:b/>
                <w:bCs/>
                <w:i/>
                <w:iCs/>
                <w:color w:val="000000"/>
                <w:sz w:val="20"/>
                <w:szCs w:val="20"/>
              </w:rPr>
            </w:pPr>
            <w:r w:rsidRPr="00465E6F">
              <w:rPr>
                <w:rFonts w:ascii="Calibri" w:eastAsia="Times New Roman" w:hAnsi="Calibri" w:cs="Times New Roman"/>
                <w:b/>
                <w:bCs/>
                <w:i/>
                <w:iCs/>
                <w:sz w:val="20"/>
                <w:szCs w:val="20"/>
              </w:rPr>
              <w:t xml:space="preserve">Urban Water Use / SB 1157 (2022): </w:t>
            </w:r>
            <w:r w:rsidRPr="00465E6F">
              <w:rPr>
                <w:rFonts w:ascii="Calibri" w:eastAsia="Times New Roman" w:hAnsi="Calibri" w:cs="Times New Roman"/>
                <w:bCs/>
                <w:i/>
                <w:iCs/>
                <w:sz w:val="20"/>
                <w:szCs w:val="20"/>
              </w:rPr>
              <w:t>Codifies existing indoor residential water use standards.</w:t>
            </w:r>
            <w:r>
              <w:rPr>
                <w:rFonts w:ascii="Calibri" w:eastAsia="Times New Roman" w:hAnsi="Calibri" w:cs="Times New Roman"/>
                <w:bCs/>
                <w:i/>
                <w:iCs/>
                <w:sz w:val="20"/>
                <w:szCs w:val="20"/>
              </w:rPr>
              <w:t xml:space="preserve">  </w:t>
            </w:r>
            <w:r w:rsidRPr="00055C7F">
              <w:rPr>
                <w:rFonts w:ascii="Calibri" w:eastAsia="Times New Roman" w:hAnsi="Calibri" w:cs="Times New Roman"/>
                <w:b/>
                <w:bCs/>
                <w:i/>
                <w:iCs/>
                <w:sz w:val="20"/>
                <w:szCs w:val="20"/>
              </w:rPr>
              <w:t>Urban Water Use Efficiency / AB 1668 &amp; SB 606 (2018)</w:t>
            </w:r>
            <w:r w:rsidRPr="00055C7F">
              <w:rPr>
                <w:i/>
                <w:sz w:val="20"/>
                <w:szCs w:val="20"/>
              </w:rPr>
              <w:t xml:space="preserve">: Establishes long-term water efficiency standards for indoor, outdoor and other water uses; and updated requirements for urban water management planning. </w:t>
            </w:r>
            <w:r>
              <w:rPr>
                <w:i/>
                <w:sz w:val="20"/>
                <w:szCs w:val="20"/>
              </w:rPr>
              <w:t xml:space="preserve">Long term, the bills led to the development of the </w:t>
            </w:r>
            <w:r w:rsidRPr="00205B62">
              <w:rPr>
                <w:rFonts w:ascii="Calibri" w:eastAsia="Times New Roman" w:hAnsi="Calibri" w:cs="Times New Roman"/>
                <w:b/>
                <w:bCs/>
                <w:i/>
                <w:iCs/>
                <w:color w:val="000000"/>
                <w:sz w:val="20"/>
                <w:szCs w:val="20"/>
              </w:rPr>
              <w:t>Conservation as a California Way of Life Regulation (2024).</w:t>
            </w:r>
            <w:r>
              <w:rPr>
                <w:rFonts w:ascii="Calibri" w:eastAsia="Times New Roman" w:hAnsi="Calibri" w:cs="Times New Roman"/>
                <w:i/>
                <w:iCs/>
                <w:color w:val="000000"/>
                <w:sz w:val="20"/>
                <w:szCs w:val="20"/>
              </w:rPr>
              <w:t xml:space="preserve"> This is a new regulatory framework that establishes individualized efficiency goals for each Urban Retail Water Supplier related to residential indoor and outdoor use, real water loss, and landscapes for commercial, industrial, and institutional (CII) users. In addition, the regulation includes further CII Performance Measures water suppliers must meet. Reporting requirement begins January 1, 2025, with the requirement to comply beginning January 1, 2027.</w:t>
            </w:r>
          </w:p>
        </w:tc>
        <w:tc>
          <w:tcPr>
            <w:tcW w:w="3330" w:type="dxa"/>
            <w:shd w:val="clear" w:color="auto" w:fill="auto"/>
            <w:vAlign w:val="center"/>
          </w:tcPr>
          <w:p w14:paraId="350F991E" w14:textId="77777777" w:rsidR="00BF61A9" w:rsidRPr="00541A16" w:rsidRDefault="00BF61A9" w:rsidP="00BF61A9">
            <w:pPr>
              <w:rPr>
                <w:rFonts w:ascii="Calibri" w:eastAsia="Times New Roman" w:hAnsi="Calibri" w:cs="Times New Roman"/>
                <w:i/>
                <w:sz w:val="20"/>
                <w:szCs w:val="20"/>
              </w:rPr>
            </w:pPr>
          </w:p>
          <w:p w14:paraId="30EE41A9" w14:textId="168422C5" w:rsidR="00BF61A9" w:rsidRPr="00541A16" w:rsidRDefault="00BF61A9" w:rsidP="00BF61A9">
            <w:pPr>
              <w:rPr>
                <w:rFonts w:ascii="Calibri" w:eastAsia="Times New Roman" w:hAnsi="Calibri" w:cs="Times New Roman"/>
                <w:i/>
                <w:sz w:val="20"/>
                <w:szCs w:val="20"/>
              </w:rPr>
            </w:pPr>
            <w:r>
              <w:rPr>
                <w:rFonts w:ascii="Calibri" w:eastAsia="Times New Roman" w:hAnsi="Calibri" w:cs="Times New Roman"/>
                <w:i/>
                <w:sz w:val="20"/>
                <w:szCs w:val="20"/>
              </w:rPr>
              <w:t xml:space="preserve">The regulatory framework </w:t>
            </w:r>
            <w:r w:rsidRPr="008C1F29">
              <w:rPr>
                <w:rFonts w:ascii="Calibri" w:eastAsia="Times New Roman" w:hAnsi="Calibri" w:cs="Times New Roman"/>
                <w:i/>
                <w:sz w:val="20"/>
                <w:szCs w:val="20"/>
              </w:rPr>
              <w:t>is estimated to have a</w:t>
            </w:r>
            <w:r w:rsidR="00DF2AC9">
              <w:rPr>
                <w:rFonts w:ascii="Calibri" w:eastAsia="Times New Roman" w:hAnsi="Calibri" w:cs="Times New Roman"/>
                <w:i/>
                <w:sz w:val="20"/>
                <w:szCs w:val="20"/>
              </w:rPr>
              <w:t>n</w:t>
            </w:r>
            <w:r w:rsidRPr="008C1F29">
              <w:rPr>
                <w:rFonts w:ascii="Calibri" w:eastAsia="Times New Roman" w:hAnsi="Calibri" w:cs="Times New Roman"/>
                <w:i/>
                <w:sz w:val="20"/>
                <w:szCs w:val="20"/>
              </w:rPr>
              <w:t xml:space="preserve"> $</w:t>
            </w:r>
            <w:r w:rsidR="00DF2AC9">
              <w:rPr>
                <w:rFonts w:ascii="Calibri" w:eastAsia="Times New Roman" w:hAnsi="Calibri" w:cs="Times New Roman"/>
                <w:i/>
                <w:sz w:val="20"/>
                <w:szCs w:val="20"/>
              </w:rPr>
              <w:t xml:space="preserve">80 </w:t>
            </w:r>
            <w:r w:rsidRPr="008C1F29">
              <w:rPr>
                <w:rFonts w:ascii="Calibri" w:eastAsia="Times New Roman" w:hAnsi="Calibri" w:cs="Times New Roman"/>
                <w:i/>
                <w:sz w:val="20"/>
                <w:szCs w:val="20"/>
              </w:rPr>
              <w:t>Million to $</w:t>
            </w:r>
            <w:r w:rsidR="00DF2AC9">
              <w:rPr>
                <w:rFonts w:ascii="Calibri" w:eastAsia="Times New Roman" w:hAnsi="Calibri" w:cs="Times New Roman"/>
                <w:i/>
                <w:sz w:val="20"/>
                <w:szCs w:val="20"/>
              </w:rPr>
              <w:t xml:space="preserve">100 </w:t>
            </w:r>
            <w:r w:rsidRPr="008C1F29">
              <w:rPr>
                <w:rFonts w:ascii="Calibri" w:eastAsia="Times New Roman" w:hAnsi="Calibri" w:cs="Times New Roman"/>
                <w:i/>
                <w:sz w:val="20"/>
                <w:szCs w:val="20"/>
              </w:rPr>
              <w:t xml:space="preserve">Million impact over 25 years, or </w:t>
            </w:r>
            <w:r w:rsidR="00DF2AC9">
              <w:rPr>
                <w:rFonts w:ascii="Calibri" w:eastAsia="Times New Roman" w:hAnsi="Calibri" w:cs="Times New Roman"/>
                <w:i/>
                <w:sz w:val="20"/>
                <w:szCs w:val="20"/>
              </w:rPr>
              <w:t>an average of</w:t>
            </w:r>
            <w:r w:rsidR="00DF2AC9" w:rsidRPr="008C1F29">
              <w:rPr>
                <w:rFonts w:ascii="Calibri" w:eastAsia="Times New Roman" w:hAnsi="Calibri" w:cs="Times New Roman"/>
                <w:i/>
                <w:sz w:val="20"/>
                <w:szCs w:val="20"/>
              </w:rPr>
              <w:t xml:space="preserve"> </w:t>
            </w:r>
            <w:r w:rsidRPr="008C1F29">
              <w:rPr>
                <w:rFonts w:ascii="Calibri" w:eastAsia="Times New Roman" w:hAnsi="Calibri" w:cs="Times New Roman"/>
                <w:i/>
                <w:sz w:val="20"/>
                <w:szCs w:val="20"/>
              </w:rPr>
              <w:t>$</w:t>
            </w:r>
            <w:r w:rsidR="00DF2AC9">
              <w:rPr>
                <w:rFonts w:ascii="Calibri" w:eastAsia="Times New Roman" w:hAnsi="Calibri" w:cs="Times New Roman"/>
                <w:i/>
                <w:sz w:val="20"/>
                <w:szCs w:val="20"/>
              </w:rPr>
              <w:t>3 - 4</w:t>
            </w:r>
            <w:r w:rsidRPr="008C1F29">
              <w:rPr>
                <w:rFonts w:ascii="Calibri" w:eastAsia="Times New Roman" w:hAnsi="Calibri" w:cs="Times New Roman"/>
                <w:i/>
                <w:sz w:val="20"/>
                <w:szCs w:val="20"/>
              </w:rPr>
              <w:t xml:space="preserve"> Million annual impact to customers.  This includes the cost of programs, operations, customer rebates and other costs.</w:t>
            </w:r>
          </w:p>
        </w:tc>
        <w:tc>
          <w:tcPr>
            <w:tcW w:w="1710" w:type="dxa"/>
            <w:shd w:val="clear" w:color="auto" w:fill="auto"/>
            <w:vAlign w:val="center"/>
          </w:tcPr>
          <w:p w14:paraId="3FC7DAA9" w14:textId="77777777" w:rsidR="00DF2AC9" w:rsidRDefault="00BF61A9" w:rsidP="00BF61A9">
            <w:pPr>
              <w:jc w:val="center"/>
              <w:rPr>
                <w:rFonts w:ascii="Calibri" w:eastAsia="Times New Roman" w:hAnsi="Calibri" w:cs="Times New Roman"/>
                <w:sz w:val="20"/>
                <w:szCs w:val="20"/>
              </w:rPr>
            </w:pPr>
            <w:r w:rsidRPr="00541A16">
              <w:rPr>
                <w:rFonts w:ascii="Calibri" w:eastAsia="Times New Roman" w:hAnsi="Calibri" w:cs="Times New Roman"/>
                <w:sz w:val="20"/>
                <w:szCs w:val="20"/>
              </w:rPr>
              <w:t xml:space="preserve">Approximately </w:t>
            </w:r>
          </w:p>
          <w:p w14:paraId="3F59AAFD" w14:textId="663699A2" w:rsidR="00BF61A9" w:rsidRPr="00541A16" w:rsidRDefault="00DF2AC9" w:rsidP="00BF61A9">
            <w:pPr>
              <w:jc w:val="center"/>
              <w:rPr>
                <w:rFonts w:ascii="Calibri" w:eastAsia="Times New Roman" w:hAnsi="Calibri" w:cs="Times New Roman"/>
                <w:sz w:val="20"/>
                <w:szCs w:val="20"/>
              </w:rPr>
            </w:pPr>
            <w:r>
              <w:rPr>
                <w:rFonts w:ascii="Calibri" w:eastAsia="Times New Roman" w:hAnsi="Calibri" w:cs="Times New Roman"/>
                <w:sz w:val="20"/>
                <w:szCs w:val="20"/>
              </w:rPr>
              <w:t>2 - 3</w:t>
            </w:r>
            <w:r w:rsidR="00BF61A9" w:rsidRPr="00541A16">
              <w:rPr>
                <w:rFonts w:ascii="Calibri" w:eastAsia="Times New Roman" w:hAnsi="Calibri" w:cs="Times New Roman"/>
                <w:sz w:val="20"/>
                <w:szCs w:val="20"/>
              </w:rPr>
              <w:t xml:space="preserve">%  annual increase </w:t>
            </w:r>
          </w:p>
        </w:tc>
        <w:tc>
          <w:tcPr>
            <w:tcW w:w="3342" w:type="dxa"/>
            <w:gridSpan w:val="2"/>
            <w:shd w:val="clear" w:color="auto" w:fill="auto"/>
            <w:vAlign w:val="center"/>
          </w:tcPr>
          <w:p w14:paraId="6E018765" w14:textId="481361E6" w:rsidR="00BF61A9" w:rsidRPr="00541A16" w:rsidRDefault="00BF61A9" w:rsidP="00BF61A9">
            <w:pPr>
              <w:rPr>
                <w:rFonts w:ascii="Calibri" w:eastAsia="Times New Roman" w:hAnsi="Calibri" w:cs="Times New Roman"/>
                <w:color w:val="000000"/>
                <w:sz w:val="20"/>
                <w:szCs w:val="20"/>
              </w:rPr>
            </w:pPr>
            <w:r w:rsidRPr="00541A16">
              <w:rPr>
                <w:rFonts w:ascii="Calibri" w:hAnsi="Calibri"/>
                <w:sz w:val="20"/>
                <w:szCs w:val="20"/>
              </w:rPr>
              <w:t xml:space="preserve">Penalties of $500 per day of violation of SWRCB orders or regulations; and up to $1,000 under certain drought conditions. </w:t>
            </w:r>
          </w:p>
        </w:tc>
      </w:tr>
      <w:tr w:rsidR="00BF61A9" w:rsidRPr="005002AE" w14:paraId="2CE8AACD" w14:textId="77777777" w:rsidTr="00BF61A9">
        <w:trPr>
          <w:gridAfter w:val="1"/>
          <w:wAfter w:w="12" w:type="dxa"/>
          <w:cantSplit/>
          <w:trHeight w:val="749"/>
        </w:trPr>
        <w:tc>
          <w:tcPr>
            <w:tcW w:w="720" w:type="dxa"/>
            <w:gridSpan w:val="2"/>
            <w:vMerge/>
            <w:shd w:val="clear" w:color="auto" w:fill="FDE9D9" w:themeFill="accent6" w:themeFillTint="33"/>
            <w:textDirection w:val="btLr"/>
            <w:vAlign w:val="center"/>
          </w:tcPr>
          <w:p w14:paraId="0FC61DE2" w14:textId="1A75309B" w:rsidR="00BF61A9" w:rsidRDefault="00BF61A9" w:rsidP="00BF61A9">
            <w:pPr>
              <w:jc w:val="center"/>
              <w:rPr>
                <w:rFonts w:ascii="Calibri" w:eastAsia="Times New Roman" w:hAnsi="Calibri" w:cs="Times New Roman"/>
                <w:color w:val="000000"/>
              </w:rPr>
            </w:pPr>
          </w:p>
        </w:tc>
        <w:tc>
          <w:tcPr>
            <w:tcW w:w="5400" w:type="dxa"/>
            <w:tcBorders>
              <w:top w:val="single" w:sz="4" w:space="0" w:color="auto"/>
              <w:bottom w:val="single" w:sz="4" w:space="0" w:color="auto"/>
            </w:tcBorders>
            <w:vAlign w:val="center"/>
          </w:tcPr>
          <w:p w14:paraId="3E7532C8" w14:textId="403F8EBB" w:rsidR="00BF61A9" w:rsidRPr="00CB4C7C" w:rsidRDefault="00BF61A9" w:rsidP="00BF61A9">
            <w:pPr>
              <w:rPr>
                <w:rFonts w:ascii="Calibri" w:eastAsia="Times New Roman" w:hAnsi="Calibri" w:cs="Times New Roman"/>
                <w:b/>
                <w:bCs/>
                <w:i/>
                <w:iCs/>
                <w:color w:val="000000"/>
                <w:sz w:val="20"/>
                <w:szCs w:val="20"/>
              </w:rPr>
            </w:pPr>
            <w:r w:rsidRPr="006D3899">
              <w:rPr>
                <w:rFonts w:ascii="Calibri" w:eastAsia="Times New Roman" w:hAnsi="Calibri" w:cs="Times New Roman"/>
                <w:b/>
                <w:bCs/>
                <w:i/>
                <w:iCs/>
                <w:sz w:val="20"/>
                <w:szCs w:val="20"/>
              </w:rPr>
              <w:t>Potable Water: Nonfunctional Turf / AB 1572 (2023):</w:t>
            </w:r>
            <w:r w:rsidRPr="006D3899">
              <w:rPr>
                <w:rFonts w:ascii="Calibri" w:eastAsia="Times New Roman" w:hAnsi="Calibri" w:cs="Times New Roman"/>
                <w:sz w:val="20"/>
                <w:szCs w:val="20"/>
              </w:rPr>
              <w:t xml:space="preserve"> Prohibits the use of potable water for the irrigation of nonfunctional turf located on commercial, industrial, and institutional properties, as well as on properties of homeowners’ associations and community service organizations. </w:t>
            </w:r>
          </w:p>
        </w:tc>
        <w:tc>
          <w:tcPr>
            <w:tcW w:w="3330" w:type="dxa"/>
            <w:vAlign w:val="center"/>
          </w:tcPr>
          <w:p w14:paraId="6153831C" w14:textId="77777777" w:rsidR="00BF61A9" w:rsidRPr="006D3899" w:rsidRDefault="00BF61A9" w:rsidP="00BF61A9">
            <w:pPr>
              <w:rPr>
                <w:rFonts w:ascii="Calibri" w:eastAsia="Times New Roman" w:hAnsi="Calibri" w:cs="Times New Roman"/>
                <w:i/>
                <w:sz w:val="20"/>
                <w:szCs w:val="20"/>
              </w:rPr>
            </w:pPr>
            <w:r w:rsidRPr="006D3899">
              <w:rPr>
                <w:rFonts w:ascii="Calibri" w:eastAsia="Times New Roman" w:hAnsi="Calibri" w:cs="Times New Roman"/>
                <w:i/>
                <w:sz w:val="20"/>
                <w:szCs w:val="20"/>
              </w:rPr>
              <w:t>One-time cost to for analyses, plans, and other preparations required for implementation from 2027 to 2029: $200,000</w:t>
            </w:r>
          </w:p>
          <w:p w14:paraId="5BD9A795" w14:textId="77777777" w:rsidR="00BF61A9" w:rsidRPr="006D3899" w:rsidRDefault="00BF61A9" w:rsidP="00BF61A9">
            <w:pPr>
              <w:rPr>
                <w:rFonts w:ascii="Calibri" w:eastAsia="Times New Roman" w:hAnsi="Calibri" w:cs="Times New Roman"/>
                <w:i/>
                <w:sz w:val="20"/>
                <w:szCs w:val="20"/>
              </w:rPr>
            </w:pPr>
          </w:p>
          <w:p w14:paraId="3129E7AB" w14:textId="47FED3DF" w:rsidR="00BF61A9" w:rsidRPr="00CB4C7C" w:rsidRDefault="00BF61A9" w:rsidP="00BF61A9">
            <w:pPr>
              <w:rPr>
                <w:rFonts w:ascii="Calibri" w:eastAsia="Times New Roman" w:hAnsi="Calibri" w:cs="Times New Roman"/>
                <w:i/>
                <w:sz w:val="20"/>
                <w:szCs w:val="20"/>
              </w:rPr>
            </w:pPr>
            <w:r w:rsidRPr="006D3899">
              <w:rPr>
                <w:rFonts w:ascii="Calibri" w:eastAsia="Times New Roman" w:hAnsi="Calibri" w:cs="Times New Roman"/>
                <w:i/>
                <w:sz w:val="20"/>
                <w:szCs w:val="20"/>
              </w:rPr>
              <w:t>Annual cost associated with management, communications, and reporting requirements: $25,000</w:t>
            </w:r>
          </w:p>
        </w:tc>
        <w:tc>
          <w:tcPr>
            <w:tcW w:w="1710" w:type="dxa"/>
            <w:vAlign w:val="center"/>
          </w:tcPr>
          <w:p w14:paraId="2FA949C3" w14:textId="1612FC90" w:rsidR="00BF61A9" w:rsidRPr="00CB4C7C" w:rsidRDefault="00BF61A9" w:rsidP="00BF61A9">
            <w:pPr>
              <w:jc w:val="center"/>
              <w:rPr>
                <w:rFonts w:ascii="Calibri" w:eastAsia="Times New Roman" w:hAnsi="Calibri" w:cs="Times New Roman"/>
                <w:sz w:val="20"/>
                <w:szCs w:val="20"/>
              </w:rPr>
            </w:pPr>
            <w:r>
              <w:rPr>
                <w:rFonts w:ascii="Calibri" w:eastAsia="Times New Roman" w:hAnsi="Calibri" w:cs="Times New Roman"/>
                <w:sz w:val="20"/>
                <w:szCs w:val="20"/>
              </w:rPr>
              <w:t xml:space="preserve">Minor </w:t>
            </w:r>
            <w:r w:rsidRPr="006D3899">
              <w:rPr>
                <w:rFonts w:ascii="Calibri" w:eastAsia="Times New Roman" w:hAnsi="Calibri" w:cs="Times New Roman"/>
                <w:sz w:val="20"/>
                <w:szCs w:val="20"/>
              </w:rPr>
              <w:t xml:space="preserve"> increase</w:t>
            </w:r>
          </w:p>
        </w:tc>
        <w:tc>
          <w:tcPr>
            <w:tcW w:w="3330" w:type="dxa"/>
            <w:vAlign w:val="center"/>
          </w:tcPr>
          <w:p w14:paraId="0C7F91FD" w14:textId="716FDF06" w:rsidR="00BF61A9" w:rsidRPr="00CB4C7C" w:rsidRDefault="00BF61A9" w:rsidP="00BF61A9">
            <w:pPr>
              <w:rPr>
                <w:rFonts w:ascii="Calibri" w:eastAsia="Times New Roman" w:hAnsi="Calibri" w:cs="Times New Roman"/>
                <w:color w:val="000000"/>
                <w:sz w:val="20"/>
                <w:szCs w:val="20"/>
              </w:rPr>
            </w:pPr>
            <w:r w:rsidRPr="006D3899">
              <w:rPr>
                <w:rFonts w:ascii="Calibri" w:eastAsia="Times New Roman" w:hAnsi="Calibri" w:cs="Times New Roman"/>
                <w:sz w:val="20"/>
                <w:szCs w:val="20"/>
              </w:rPr>
              <w:t>Penalties not specified for water systems</w:t>
            </w:r>
          </w:p>
        </w:tc>
      </w:tr>
      <w:tr w:rsidR="00BF61A9" w:rsidRPr="005002AE" w14:paraId="15C52DCC" w14:textId="77777777" w:rsidTr="00BF61A9">
        <w:trPr>
          <w:gridAfter w:val="1"/>
          <w:wAfter w:w="12" w:type="dxa"/>
          <w:cantSplit/>
          <w:trHeight w:val="2160"/>
        </w:trPr>
        <w:tc>
          <w:tcPr>
            <w:tcW w:w="720" w:type="dxa"/>
            <w:gridSpan w:val="2"/>
            <w:vMerge/>
            <w:shd w:val="clear" w:color="auto" w:fill="FDE9D9" w:themeFill="accent6" w:themeFillTint="33"/>
            <w:textDirection w:val="btLr"/>
            <w:vAlign w:val="center"/>
            <w:hideMark/>
          </w:tcPr>
          <w:p w14:paraId="3B5D41DF" w14:textId="015FE872" w:rsidR="00BF61A9" w:rsidRPr="005002AE" w:rsidRDefault="00BF61A9" w:rsidP="00BF61A9">
            <w:pPr>
              <w:jc w:val="center"/>
              <w:rPr>
                <w:rFonts w:ascii="Calibri" w:eastAsia="Times New Roman" w:hAnsi="Calibri" w:cs="Times New Roman"/>
                <w:color w:val="000000"/>
              </w:rPr>
            </w:pPr>
          </w:p>
        </w:tc>
        <w:tc>
          <w:tcPr>
            <w:tcW w:w="5400" w:type="dxa"/>
            <w:tcBorders>
              <w:top w:val="single" w:sz="4" w:space="0" w:color="auto"/>
              <w:bottom w:val="single" w:sz="4" w:space="0" w:color="auto"/>
            </w:tcBorders>
            <w:vAlign w:val="center"/>
            <w:hideMark/>
          </w:tcPr>
          <w:p w14:paraId="03B4E5E7" w14:textId="77777777" w:rsidR="00BF61A9" w:rsidRPr="00CB4C7C" w:rsidRDefault="00BF61A9" w:rsidP="00BF61A9">
            <w:pPr>
              <w:rPr>
                <w:rFonts w:ascii="Calibri" w:eastAsia="Times New Roman" w:hAnsi="Calibri" w:cs="Times New Roman"/>
                <w:b/>
                <w:bCs/>
                <w:i/>
                <w:iCs/>
                <w:color w:val="000000"/>
                <w:sz w:val="20"/>
                <w:szCs w:val="20"/>
              </w:rPr>
            </w:pPr>
            <w:r w:rsidRPr="00CB4C7C">
              <w:rPr>
                <w:rFonts w:ascii="Calibri" w:eastAsia="Times New Roman" w:hAnsi="Calibri" w:cs="Times New Roman"/>
                <w:b/>
                <w:bCs/>
                <w:i/>
                <w:iCs/>
                <w:color w:val="000000"/>
                <w:sz w:val="20"/>
                <w:szCs w:val="20"/>
              </w:rPr>
              <w:t xml:space="preserve">Urban Water Conservation - 20% by 2020 / SB X7-7 (2007): </w:t>
            </w:r>
            <w:r w:rsidRPr="00CB4C7C">
              <w:rPr>
                <w:rFonts w:ascii="Calibri" w:eastAsia="Times New Roman" w:hAnsi="Calibri" w:cs="Times New Roman"/>
                <w:i/>
                <w:iCs/>
                <w:color w:val="000000"/>
                <w:sz w:val="20"/>
                <w:szCs w:val="20"/>
              </w:rPr>
              <w:t xml:space="preserve">Establishes State urban water conservation targets of 10% by 2015 and 20% by 2020. Water suppliers, such </w:t>
            </w:r>
            <w:r w:rsidRPr="00055C7F">
              <w:rPr>
                <w:rFonts w:ascii="Calibri" w:eastAsia="Times New Roman" w:hAnsi="Calibri" w:cs="Times New Roman"/>
                <w:i/>
                <w:iCs/>
                <w:sz w:val="20"/>
                <w:szCs w:val="20"/>
              </w:rPr>
              <w:t>as APU</w:t>
            </w:r>
            <w:r w:rsidRPr="00CB4C7C">
              <w:rPr>
                <w:rFonts w:ascii="Calibri" w:eastAsia="Times New Roman" w:hAnsi="Calibri" w:cs="Times New Roman"/>
                <w:i/>
                <w:iCs/>
                <w:color w:val="000000"/>
                <w:sz w:val="20"/>
                <w:szCs w:val="20"/>
              </w:rPr>
              <w:t>, are required to adopt conservation targets by July 1, 2011.</w:t>
            </w:r>
          </w:p>
        </w:tc>
        <w:tc>
          <w:tcPr>
            <w:tcW w:w="3330" w:type="dxa"/>
            <w:vAlign w:val="center"/>
            <w:hideMark/>
          </w:tcPr>
          <w:p w14:paraId="4DE472E2" w14:textId="77777777" w:rsidR="00BF61A9" w:rsidRPr="00CB4C7C" w:rsidRDefault="00BF61A9" w:rsidP="00BF61A9">
            <w:pPr>
              <w:rPr>
                <w:rFonts w:ascii="Calibri" w:eastAsia="Times New Roman" w:hAnsi="Calibri" w:cs="Times New Roman"/>
                <w:i/>
                <w:sz w:val="20"/>
                <w:szCs w:val="20"/>
              </w:rPr>
            </w:pPr>
            <w:r w:rsidRPr="00CB4C7C">
              <w:rPr>
                <w:rFonts w:ascii="Calibri" w:eastAsia="Times New Roman" w:hAnsi="Calibri" w:cs="Times New Roman"/>
                <w:i/>
                <w:sz w:val="20"/>
                <w:szCs w:val="20"/>
              </w:rPr>
              <w:t>One-time cost to develop a master plan, which was completed in 2014, to meet the water conservation targets: $150,000 (50% grant funded)</w:t>
            </w:r>
          </w:p>
          <w:p w14:paraId="50182922" w14:textId="77777777" w:rsidR="00BF61A9" w:rsidRPr="00CB4C7C" w:rsidRDefault="00BF61A9" w:rsidP="00BF61A9">
            <w:pPr>
              <w:rPr>
                <w:rFonts w:ascii="Calibri" w:eastAsia="Times New Roman" w:hAnsi="Calibri" w:cs="Times New Roman"/>
                <w:i/>
                <w:sz w:val="20"/>
                <w:szCs w:val="20"/>
              </w:rPr>
            </w:pPr>
          </w:p>
          <w:p w14:paraId="49EEDFCF" w14:textId="77777777" w:rsidR="00BF61A9" w:rsidRPr="005002AE" w:rsidRDefault="00BF61A9" w:rsidP="00BF61A9">
            <w:pPr>
              <w:rPr>
                <w:rFonts w:ascii="Calibri" w:eastAsia="Times New Roman" w:hAnsi="Calibri" w:cs="Times New Roman"/>
              </w:rPr>
            </w:pPr>
            <w:r w:rsidRPr="00CB4C7C">
              <w:rPr>
                <w:rFonts w:ascii="Calibri" w:eastAsia="Times New Roman" w:hAnsi="Calibri" w:cs="Times New Roman"/>
                <w:i/>
                <w:sz w:val="20"/>
                <w:szCs w:val="20"/>
              </w:rPr>
              <w:t>Annual cost to implement conservation measures necessary to meet targets: $870,000</w:t>
            </w:r>
          </w:p>
        </w:tc>
        <w:tc>
          <w:tcPr>
            <w:tcW w:w="1710" w:type="dxa"/>
            <w:vAlign w:val="center"/>
            <w:hideMark/>
          </w:tcPr>
          <w:p w14:paraId="6C0CD599" w14:textId="77777777" w:rsidR="00BF61A9" w:rsidRPr="00CB4C7C" w:rsidRDefault="00BF61A9" w:rsidP="00BF61A9">
            <w:pPr>
              <w:jc w:val="center"/>
              <w:rPr>
                <w:rFonts w:ascii="Calibri" w:eastAsia="Times New Roman" w:hAnsi="Calibri" w:cs="Times New Roman"/>
                <w:sz w:val="20"/>
                <w:szCs w:val="20"/>
              </w:rPr>
            </w:pPr>
            <w:r w:rsidRPr="00CB4C7C">
              <w:rPr>
                <w:rFonts w:ascii="Calibri" w:eastAsia="Times New Roman" w:hAnsi="Calibri" w:cs="Times New Roman"/>
                <w:sz w:val="20"/>
                <w:szCs w:val="20"/>
              </w:rPr>
              <w:t>1.3% increase</w:t>
            </w:r>
          </w:p>
        </w:tc>
        <w:tc>
          <w:tcPr>
            <w:tcW w:w="3330" w:type="dxa"/>
            <w:vAlign w:val="center"/>
            <w:hideMark/>
          </w:tcPr>
          <w:p w14:paraId="436B40C6" w14:textId="77777777" w:rsidR="00BF61A9" w:rsidRPr="005002AE" w:rsidRDefault="00BF61A9" w:rsidP="00BF61A9">
            <w:pPr>
              <w:rPr>
                <w:rFonts w:ascii="Calibri" w:eastAsia="Times New Roman" w:hAnsi="Calibri" w:cs="Times New Roman"/>
                <w:color w:val="000000"/>
              </w:rPr>
            </w:pPr>
            <w:r w:rsidRPr="00CB4C7C">
              <w:rPr>
                <w:rFonts w:ascii="Calibri" w:eastAsia="Times New Roman" w:hAnsi="Calibri" w:cs="Times New Roman"/>
                <w:color w:val="000000"/>
                <w:sz w:val="20"/>
                <w:szCs w:val="20"/>
              </w:rPr>
              <w:t xml:space="preserve">Eligibility for state water management grants and loans </w:t>
            </w:r>
            <w:r w:rsidRPr="00CB4C7C">
              <w:rPr>
                <w:rFonts w:ascii="Calibri" w:eastAsia="Times New Roman" w:hAnsi="Calibri" w:cs="Times New Roman"/>
                <w:sz w:val="20"/>
                <w:szCs w:val="20"/>
              </w:rPr>
              <w:t xml:space="preserve">is </w:t>
            </w:r>
            <w:r w:rsidRPr="00CB4C7C">
              <w:rPr>
                <w:rFonts w:ascii="Calibri" w:eastAsia="Times New Roman" w:hAnsi="Calibri" w:cs="Times New Roman"/>
                <w:color w:val="000000"/>
                <w:sz w:val="20"/>
                <w:szCs w:val="20"/>
              </w:rPr>
              <w:t>conditioned on compliance with the water use targets</w:t>
            </w:r>
            <w:r w:rsidRPr="005002AE">
              <w:rPr>
                <w:rFonts w:ascii="Calibri" w:eastAsia="Times New Roman" w:hAnsi="Calibri" w:cs="Times New Roman"/>
                <w:color w:val="000000"/>
              </w:rPr>
              <w:t>.</w:t>
            </w:r>
          </w:p>
        </w:tc>
      </w:tr>
    </w:tbl>
    <w:p w14:paraId="25607DB2" w14:textId="77777777" w:rsidR="004D16DF" w:rsidRDefault="004D16DF">
      <w:r>
        <w:br w:type="page"/>
      </w:r>
    </w:p>
    <w:tbl>
      <w:tblPr>
        <w:tblStyle w:val="TableGrid"/>
        <w:tblpPr w:leftFromText="180" w:rightFromText="180" w:vertAnchor="text" w:tblpY="1"/>
        <w:tblOverlap w:val="never"/>
        <w:tblW w:w="14400" w:type="dxa"/>
        <w:tblLook w:val="04A0" w:firstRow="1" w:lastRow="0" w:firstColumn="1" w:lastColumn="0" w:noHBand="0" w:noVBand="1"/>
      </w:tblPr>
      <w:tblGrid>
        <w:gridCol w:w="829"/>
        <w:gridCol w:w="5111"/>
        <w:gridCol w:w="3330"/>
        <w:gridCol w:w="1710"/>
        <w:gridCol w:w="3420"/>
      </w:tblGrid>
      <w:tr w:rsidR="009C3FB9" w:rsidRPr="004D7627" w14:paraId="5D911CE1" w14:textId="77777777" w:rsidTr="000A5397">
        <w:trPr>
          <w:trHeight w:val="710"/>
        </w:trPr>
        <w:tc>
          <w:tcPr>
            <w:tcW w:w="5940" w:type="dxa"/>
            <w:gridSpan w:val="2"/>
            <w:tcBorders>
              <w:top w:val="nil"/>
              <w:left w:val="nil"/>
              <w:bottom w:val="single" w:sz="4" w:space="0" w:color="auto"/>
              <w:right w:val="single" w:sz="4" w:space="0" w:color="auto"/>
            </w:tcBorders>
            <w:shd w:val="clear" w:color="auto" w:fill="auto"/>
            <w:textDirection w:val="btLr"/>
            <w:vAlign w:val="center"/>
          </w:tcPr>
          <w:p w14:paraId="01C2DD13" w14:textId="77777777" w:rsidR="009C3FB9" w:rsidRPr="00CB4C7C" w:rsidRDefault="009C3FB9" w:rsidP="005A2FE0">
            <w:pPr>
              <w:rPr>
                <w:rFonts w:ascii="Calibri" w:eastAsia="Times New Roman" w:hAnsi="Calibri" w:cs="Times New Roman"/>
                <w:b/>
                <w:bCs/>
                <w:i/>
                <w:iCs/>
                <w:sz w:val="20"/>
                <w:szCs w:val="20"/>
              </w:rPr>
            </w:pPr>
          </w:p>
        </w:tc>
        <w:tc>
          <w:tcPr>
            <w:tcW w:w="3330" w:type="dxa"/>
            <w:tcBorders>
              <w:left w:val="single" w:sz="4" w:space="0" w:color="auto"/>
            </w:tcBorders>
            <w:shd w:val="clear" w:color="auto" w:fill="F2DBDB" w:themeFill="accent2" w:themeFillTint="33"/>
            <w:vAlign w:val="center"/>
          </w:tcPr>
          <w:p w14:paraId="2BA7D95A" w14:textId="77777777" w:rsidR="009C3FB9" w:rsidRPr="004D7627" w:rsidRDefault="009C3FB9" w:rsidP="005A2FE0">
            <w:pPr>
              <w:jc w:val="center"/>
              <w:rPr>
                <w:rFonts w:ascii="Calibri" w:eastAsia="Times New Roman" w:hAnsi="Calibri" w:cs="Times New Roman"/>
                <w:b/>
                <w:bCs/>
                <w:color w:val="000000"/>
              </w:rPr>
            </w:pPr>
            <w:r w:rsidRPr="004D7627">
              <w:rPr>
                <w:rFonts w:ascii="Calibri" w:eastAsia="Times New Roman" w:hAnsi="Calibri" w:cs="Times New Roman"/>
                <w:b/>
                <w:bCs/>
                <w:color w:val="000000"/>
              </w:rPr>
              <w:t>Estimated Cost of Implementation</w:t>
            </w:r>
          </w:p>
        </w:tc>
        <w:tc>
          <w:tcPr>
            <w:tcW w:w="1710" w:type="dxa"/>
            <w:shd w:val="clear" w:color="auto" w:fill="E5DFEC" w:themeFill="accent4" w:themeFillTint="33"/>
            <w:vAlign w:val="center"/>
          </w:tcPr>
          <w:p w14:paraId="614A150E" w14:textId="77777777" w:rsidR="009C3FB9" w:rsidRPr="004D7627" w:rsidRDefault="009C3FB9" w:rsidP="005A2FE0">
            <w:pPr>
              <w:jc w:val="center"/>
              <w:rPr>
                <w:rFonts w:ascii="Calibri" w:eastAsia="Times New Roman" w:hAnsi="Calibri" w:cs="Times New Roman"/>
                <w:b/>
                <w:bCs/>
                <w:color w:val="000000"/>
              </w:rPr>
            </w:pPr>
            <w:r w:rsidRPr="004D7627">
              <w:rPr>
                <w:rFonts w:ascii="Calibri" w:eastAsia="Times New Roman" w:hAnsi="Calibri" w:cs="Times New Roman"/>
                <w:b/>
                <w:bCs/>
                <w:color w:val="000000"/>
              </w:rPr>
              <w:t>Estimated Rate Impact</w:t>
            </w:r>
          </w:p>
        </w:tc>
        <w:tc>
          <w:tcPr>
            <w:tcW w:w="3420" w:type="dxa"/>
            <w:shd w:val="clear" w:color="auto" w:fill="DAEEF3" w:themeFill="accent5" w:themeFillTint="33"/>
            <w:vAlign w:val="center"/>
          </w:tcPr>
          <w:p w14:paraId="7216B63D" w14:textId="77777777" w:rsidR="009C3FB9" w:rsidRPr="004D7627" w:rsidRDefault="009C3FB9" w:rsidP="005A2FE0">
            <w:pPr>
              <w:jc w:val="center"/>
              <w:rPr>
                <w:rFonts w:ascii="Calibri" w:eastAsia="Times New Roman" w:hAnsi="Calibri" w:cs="Times New Roman"/>
                <w:b/>
                <w:bCs/>
                <w:color w:val="000000"/>
              </w:rPr>
            </w:pPr>
            <w:r w:rsidRPr="004D7627">
              <w:rPr>
                <w:rFonts w:ascii="Calibri" w:eastAsia="Times New Roman" w:hAnsi="Calibri" w:cs="Times New Roman"/>
                <w:b/>
                <w:bCs/>
                <w:color w:val="000000"/>
              </w:rPr>
              <w:t>Penalties / Other Potential Cost Impacts</w:t>
            </w:r>
          </w:p>
        </w:tc>
      </w:tr>
      <w:tr w:rsidR="009C3FB9" w:rsidRPr="005002AE" w14:paraId="430D7E07" w14:textId="77777777" w:rsidTr="000A5397">
        <w:trPr>
          <w:trHeight w:val="2147"/>
        </w:trPr>
        <w:tc>
          <w:tcPr>
            <w:tcW w:w="829" w:type="dxa"/>
            <w:shd w:val="clear" w:color="auto" w:fill="E5DFEC" w:themeFill="accent4" w:themeFillTint="33"/>
            <w:textDirection w:val="btLr"/>
            <w:vAlign w:val="center"/>
          </w:tcPr>
          <w:p w14:paraId="60990E9E" w14:textId="7EA17898" w:rsidR="009C3FB9" w:rsidRDefault="009C3FB9" w:rsidP="004D16DF">
            <w:pPr>
              <w:jc w:val="center"/>
              <w:rPr>
                <w:rFonts w:ascii="Calibri" w:eastAsia="Times New Roman" w:hAnsi="Calibri" w:cs="Times New Roman"/>
                <w:color w:val="000000"/>
              </w:rPr>
            </w:pPr>
            <w:r>
              <w:rPr>
                <w:rFonts w:ascii="Calibri" w:eastAsia="Times New Roman" w:hAnsi="Calibri" w:cs="Times New Roman"/>
                <w:color w:val="000000"/>
              </w:rPr>
              <w:t xml:space="preserve">Water System </w:t>
            </w:r>
          </w:p>
          <w:p w14:paraId="3C6E306B" w14:textId="6AD29A50" w:rsidR="009C3FB9" w:rsidRDefault="009C3FB9" w:rsidP="004D16DF">
            <w:pPr>
              <w:jc w:val="center"/>
              <w:rPr>
                <w:rFonts w:ascii="Calibri" w:eastAsia="Times New Roman" w:hAnsi="Calibri" w:cs="Times New Roman"/>
                <w:color w:val="000000"/>
              </w:rPr>
            </w:pPr>
            <w:r>
              <w:rPr>
                <w:rFonts w:ascii="Calibri" w:eastAsia="Times New Roman" w:hAnsi="Calibri" w:cs="Times New Roman"/>
                <w:color w:val="000000"/>
              </w:rPr>
              <w:t>Resiliency</w:t>
            </w:r>
          </w:p>
        </w:tc>
        <w:tc>
          <w:tcPr>
            <w:tcW w:w="5111" w:type="dxa"/>
            <w:tcBorders>
              <w:top w:val="single" w:sz="4" w:space="0" w:color="auto"/>
              <w:bottom w:val="single" w:sz="4" w:space="0" w:color="auto"/>
            </w:tcBorders>
            <w:vAlign w:val="center"/>
          </w:tcPr>
          <w:p w14:paraId="6A445315" w14:textId="2C76E3E1" w:rsidR="009C3FB9" w:rsidRPr="00CB4C7C" w:rsidRDefault="009C3FB9" w:rsidP="004D16DF">
            <w:pPr>
              <w:rPr>
                <w:rFonts w:ascii="Calibri" w:eastAsia="Times New Roman" w:hAnsi="Calibri" w:cs="Times New Roman"/>
                <w:b/>
                <w:bCs/>
                <w:i/>
                <w:iCs/>
                <w:color w:val="000000"/>
                <w:sz w:val="20"/>
                <w:szCs w:val="20"/>
              </w:rPr>
            </w:pPr>
            <w:r w:rsidRPr="00A71F49">
              <w:rPr>
                <w:rFonts w:ascii="Calibri" w:eastAsia="Times New Roman" w:hAnsi="Calibri" w:cs="Times New Roman"/>
                <w:b/>
                <w:bCs/>
                <w:i/>
                <w:iCs/>
                <w:sz w:val="20"/>
                <w:szCs w:val="20"/>
              </w:rPr>
              <w:t>Water System Risk Assessments and Emergency Response Plans / S. 3021 (2018):</w:t>
            </w:r>
            <w:r w:rsidRPr="00A71F49">
              <w:rPr>
                <w:rFonts w:ascii="Calibri" w:eastAsia="Times New Roman" w:hAnsi="Calibri" w:cs="Times New Roman"/>
                <w:bCs/>
                <w:i/>
                <w:iCs/>
                <w:sz w:val="20"/>
                <w:szCs w:val="20"/>
              </w:rPr>
              <w:t xml:space="preserve"> requires drinking water systems to conduct a risk assessment its system and develop an emergency response plans (ERP), which must be certified by the US Environmental Protection Agency.</w:t>
            </w:r>
          </w:p>
        </w:tc>
        <w:tc>
          <w:tcPr>
            <w:tcW w:w="3330" w:type="dxa"/>
            <w:vAlign w:val="center"/>
          </w:tcPr>
          <w:p w14:paraId="5A344124" w14:textId="6810E91B" w:rsidR="009C3FB9" w:rsidRPr="00CB4C7C" w:rsidRDefault="009C3FB9" w:rsidP="004D16DF">
            <w:pPr>
              <w:rPr>
                <w:rFonts w:ascii="Calibri" w:eastAsia="Times New Roman" w:hAnsi="Calibri" w:cs="Times New Roman"/>
                <w:i/>
                <w:sz w:val="20"/>
                <w:szCs w:val="20"/>
              </w:rPr>
            </w:pPr>
            <w:r w:rsidRPr="00A71F49">
              <w:rPr>
                <w:rFonts w:ascii="Calibri" w:eastAsia="Times New Roman" w:hAnsi="Calibri" w:cs="Times New Roman"/>
                <w:i/>
                <w:sz w:val="20"/>
                <w:szCs w:val="20"/>
              </w:rPr>
              <w:t>One-time cost to develop risk assessment and ERP: TBD</w:t>
            </w:r>
          </w:p>
        </w:tc>
        <w:tc>
          <w:tcPr>
            <w:tcW w:w="1710" w:type="dxa"/>
            <w:vAlign w:val="center"/>
          </w:tcPr>
          <w:p w14:paraId="21B3ED3A" w14:textId="6BCB9DC1" w:rsidR="009C3FB9" w:rsidRPr="00CB4C7C" w:rsidRDefault="009C3FB9" w:rsidP="004D16DF">
            <w:pPr>
              <w:jc w:val="center"/>
              <w:rPr>
                <w:rFonts w:ascii="Calibri" w:eastAsia="Times New Roman" w:hAnsi="Calibri" w:cs="Times New Roman"/>
                <w:sz w:val="20"/>
                <w:szCs w:val="20"/>
              </w:rPr>
            </w:pPr>
            <w:r w:rsidRPr="00A71F49">
              <w:rPr>
                <w:rFonts w:ascii="Calibri" w:eastAsia="Times New Roman" w:hAnsi="Calibri" w:cs="Times New Roman"/>
                <w:sz w:val="20"/>
                <w:szCs w:val="20"/>
              </w:rPr>
              <w:t>TBD</w:t>
            </w:r>
          </w:p>
        </w:tc>
        <w:tc>
          <w:tcPr>
            <w:tcW w:w="3420" w:type="dxa"/>
            <w:vAlign w:val="center"/>
          </w:tcPr>
          <w:p w14:paraId="0EA09A2C" w14:textId="7D6FD2FF" w:rsidR="009C3FB9" w:rsidRPr="00CB4C7C" w:rsidRDefault="009C3FB9" w:rsidP="004D16DF">
            <w:pPr>
              <w:rPr>
                <w:rFonts w:ascii="Calibri" w:eastAsia="Times New Roman" w:hAnsi="Calibri" w:cs="Times New Roman"/>
                <w:color w:val="000000"/>
                <w:sz w:val="20"/>
                <w:szCs w:val="20"/>
              </w:rPr>
            </w:pPr>
            <w:r w:rsidRPr="00A71F49">
              <w:rPr>
                <w:rFonts w:ascii="Calibri" w:hAnsi="Calibri"/>
                <w:sz w:val="20"/>
                <w:szCs w:val="20"/>
              </w:rPr>
              <w:t xml:space="preserve">Potential civil penalties up to $25,000 per day of violation under the Safe Drinking Water Act.  </w:t>
            </w:r>
          </w:p>
        </w:tc>
      </w:tr>
      <w:tr w:rsidR="009C3FB9" w:rsidRPr="005002AE" w14:paraId="314298C0" w14:textId="77777777" w:rsidTr="000A5397">
        <w:trPr>
          <w:trHeight w:val="2147"/>
        </w:trPr>
        <w:tc>
          <w:tcPr>
            <w:tcW w:w="829" w:type="dxa"/>
            <w:shd w:val="clear" w:color="auto" w:fill="DBE5F1" w:themeFill="accent1" w:themeFillTint="33"/>
            <w:textDirection w:val="btLr"/>
            <w:vAlign w:val="center"/>
          </w:tcPr>
          <w:p w14:paraId="7D5DE6C8" w14:textId="46F87994" w:rsidR="009C3FB9" w:rsidRDefault="009C3FB9" w:rsidP="004D16DF">
            <w:pPr>
              <w:jc w:val="center"/>
              <w:rPr>
                <w:rFonts w:ascii="Calibri" w:eastAsia="Times New Roman" w:hAnsi="Calibri" w:cs="Times New Roman"/>
                <w:color w:val="000000"/>
              </w:rPr>
            </w:pPr>
            <w:r w:rsidRPr="005002AE">
              <w:rPr>
                <w:rFonts w:ascii="Calibri" w:eastAsia="Times New Roman" w:hAnsi="Calibri" w:cs="Times New Roman"/>
                <w:color w:val="000000"/>
              </w:rPr>
              <w:t>Water Quality</w:t>
            </w:r>
          </w:p>
        </w:tc>
        <w:tc>
          <w:tcPr>
            <w:tcW w:w="5111" w:type="dxa"/>
            <w:tcBorders>
              <w:top w:val="single" w:sz="4" w:space="0" w:color="auto"/>
              <w:bottom w:val="single" w:sz="4" w:space="0" w:color="auto"/>
            </w:tcBorders>
            <w:vAlign w:val="center"/>
          </w:tcPr>
          <w:p w14:paraId="166B8CB5" w14:textId="455CEE38" w:rsidR="009C3FB9" w:rsidRPr="00A71F49" w:rsidRDefault="009C3FB9" w:rsidP="004D16DF">
            <w:pPr>
              <w:rPr>
                <w:rFonts w:ascii="Calibri" w:eastAsia="Times New Roman" w:hAnsi="Calibri" w:cs="Times New Roman"/>
                <w:b/>
                <w:bCs/>
                <w:i/>
                <w:iCs/>
                <w:sz w:val="20"/>
                <w:szCs w:val="20"/>
              </w:rPr>
            </w:pPr>
            <w:r w:rsidRPr="00CB4C7C">
              <w:rPr>
                <w:rFonts w:ascii="Calibri" w:eastAsia="Times New Roman" w:hAnsi="Calibri" w:cs="Times New Roman"/>
                <w:b/>
                <w:bCs/>
                <w:i/>
                <w:iCs/>
                <w:sz w:val="20"/>
                <w:szCs w:val="20"/>
              </w:rPr>
              <w:t>US Environmental Protection</w:t>
            </w:r>
            <w:r>
              <w:rPr>
                <w:rFonts w:ascii="Calibri" w:eastAsia="Times New Roman" w:hAnsi="Calibri" w:cs="Times New Roman"/>
                <w:b/>
                <w:bCs/>
                <w:i/>
                <w:iCs/>
                <w:sz w:val="20"/>
                <w:szCs w:val="20"/>
              </w:rPr>
              <w:t xml:space="preserve"> Agency and State Water Resources </w:t>
            </w:r>
            <w:r w:rsidRPr="00CB4C7C">
              <w:rPr>
                <w:rFonts w:ascii="Calibri" w:eastAsia="Times New Roman" w:hAnsi="Calibri" w:cs="Times New Roman"/>
                <w:b/>
                <w:bCs/>
                <w:i/>
                <w:iCs/>
                <w:sz w:val="20"/>
                <w:szCs w:val="20"/>
              </w:rPr>
              <w:t xml:space="preserve">Control Board Water Quality Rules: </w:t>
            </w:r>
            <w:r w:rsidRPr="00CB4C7C">
              <w:rPr>
                <w:rFonts w:ascii="Calibri" w:eastAsia="Times New Roman" w:hAnsi="Calibri" w:cs="Times New Roman"/>
                <w:i/>
                <w:iCs/>
                <w:sz w:val="20"/>
                <w:szCs w:val="20"/>
              </w:rPr>
              <w:t>Includes various monitoring and reporting programs to protect water quality.</w:t>
            </w:r>
          </w:p>
        </w:tc>
        <w:tc>
          <w:tcPr>
            <w:tcW w:w="3330" w:type="dxa"/>
            <w:vAlign w:val="center"/>
          </w:tcPr>
          <w:p w14:paraId="3701AD95" w14:textId="192BB0D0" w:rsidR="009C3FB9" w:rsidRPr="00A71F49" w:rsidRDefault="009C3FB9" w:rsidP="004D16DF">
            <w:pPr>
              <w:rPr>
                <w:rFonts w:ascii="Calibri" w:eastAsia="Times New Roman" w:hAnsi="Calibri" w:cs="Times New Roman"/>
                <w:i/>
                <w:sz w:val="20"/>
                <w:szCs w:val="20"/>
              </w:rPr>
            </w:pPr>
            <w:r w:rsidRPr="00CB4C7C">
              <w:rPr>
                <w:rFonts w:ascii="Calibri" w:eastAsia="Times New Roman" w:hAnsi="Calibri" w:cs="Times New Roman"/>
                <w:i/>
                <w:sz w:val="20"/>
                <w:szCs w:val="20"/>
              </w:rPr>
              <w:t>Annual cost associated with increased  monitoring requirements: $10,000</w:t>
            </w:r>
          </w:p>
        </w:tc>
        <w:tc>
          <w:tcPr>
            <w:tcW w:w="1710" w:type="dxa"/>
            <w:vAlign w:val="center"/>
          </w:tcPr>
          <w:p w14:paraId="566CFEF3" w14:textId="3C2AE691" w:rsidR="009C3FB9" w:rsidRPr="00A71F49" w:rsidRDefault="009C3FB9" w:rsidP="004D16DF">
            <w:pPr>
              <w:jc w:val="center"/>
              <w:rPr>
                <w:rFonts w:ascii="Calibri" w:eastAsia="Times New Roman" w:hAnsi="Calibri" w:cs="Times New Roman"/>
                <w:sz w:val="20"/>
                <w:szCs w:val="20"/>
              </w:rPr>
            </w:pPr>
            <w:r w:rsidRPr="00CB4C7C">
              <w:rPr>
                <w:rFonts w:ascii="Calibri" w:eastAsia="Times New Roman" w:hAnsi="Calibri" w:cs="Times New Roman"/>
                <w:sz w:val="20"/>
                <w:szCs w:val="20"/>
              </w:rPr>
              <w:t>0.1% increase</w:t>
            </w:r>
          </w:p>
        </w:tc>
        <w:tc>
          <w:tcPr>
            <w:tcW w:w="3420" w:type="dxa"/>
            <w:vAlign w:val="center"/>
          </w:tcPr>
          <w:p w14:paraId="2E7D979B" w14:textId="54DC1BB2" w:rsidR="009C3FB9" w:rsidRPr="00A71F49" w:rsidRDefault="009C3FB9" w:rsidP="004D16DF">
            <w:pPr>
              <w:rPr>
                <w:rFonts w:ascii="Calibri" w:hAnsi="Calibri"/>
                <w:sz w:val="20"/>
                <w:szCs w:val="20"/>
              </w:rPr>
            </w:pPr>
            <w:r w:rsidRPr="00CB4C7C">
              <w:rPr>
                <w:rFonts w:ascii="Calibri" w:eastAsia="Times New Roman" w:hAnsi="Calibri" w:cs="Times New Roman"/>
                <w:sz w:val="20"/>
                <w:szCs w:val="20"/>
              </w:rPr>
              <w:t>Potential civil and criminal penalties of $25,000 - $50,000 per day of violation under the Safe Drinking Water Act.</w:t>
            </w:r>
          </w:p>
        </w:tc>
      </w:tr>
      <w:tr w:rsidR="009C3FB9" w:rsidRPr="005002AE" w14:paraId="4A578F7C" w14:textId="77777777" w:rsidTr="000A5397">
        <w:trPr>
          <w:trHeight w:val="1517"/>
        </w:trPr>
        <w:tc>
          <w:tcPr>
            <w:tcW w:w="829" w:type="dxa"/>
            <w:tcBorders>
              <w:bottom w:val="single" w:sz="4" w:space="0" w:color="auto"/>
            </w:tcBorders>
            <w:shd w:val="clear" w:color="auto" w:fill="EAF1DD" w:themeFill="accent3" w:themeFillTint="33"/>
            <w:textDirection w:val="btLr"/>
            <w:vAlign w:val="center"/>
            <w:hideMark/>
          </w:tcPr>
          <w:p w14:paraId="4080D99C" w14:textId="77777777" w:rsidR="009C3FB9" w:rsidRPr="005002AE" w:rsidRDefault="009C3FB9" w:rsidP="00256DF3">
            <w:pPr>
              <w:jc w:val="center"/>
              <w:rPr>
                <w:rFonts w:ascii="Calibri" w:eastAsia="Times New Roman" w:hAnsi="Calibri" w:cs="Times New Roman"/>
                <w:color w:val="000000"/>
              </w:rPr>
            </w:pPr>
            <w:r w:rsidRPr="005002AE">
              <w:rPr>
                <w:rFonts w:ascii="Calibri" w:eastAsia="Times New Roman" w:hAnsi="Calibri" w:cs="Times New Roman"/>
                <w:color w:val="000000"/>
              </w:rPr>
              <w:t>Water Supply</w:t>
            </w:r>
          </w:p>
        </w:tc>
        <w:tc>
          <w:tcPr>
            <w:tcW w:w="5111" w:type="dxa"/>
            <w:tcBorders>
              <w:bottom w:val="single" w:sz="4" w:space="0" w:color="auto"/>
            </w:tcBorders>
            <w:vAlign w:val="center"/>
            <w:hideMark/>
          </w:tcPr>
          <w:p w14:paraId="2A2902C6" w14:textId="77777777" w:rsidR="009C3FB9" w:rsidRPr="00CB4C7C" w:rsidRDefault="009C3FB9" w:rsidP="00256DF3">
            <w:pPr>
              <w:rPr>
                <w:rFonts w:ascii="Calibri" w:eastAsia="Times New Roman" w:hAnsi="Calibri" w:cs="Times New Roman"/>
                <w:b/>
                <w:bCs/>
                <w:i/>
                <w:iCs/>
                <w:color w:val="000000"/>
                <w:sz w:val="20"/>
                <w:szCs w:val="20"/>
              </w:rPr>
            </w:pPr>
            <w:r w:rsidRPr="00CB4C7C">
              <w:rPr>
                <w:rFonts w:ascii="Calibri" w:eastAsia="Times New Roman" w:hAnsi="Calibri" w:cs="Times New Roman"/>
                <w:b/>
                <w:bCs/>
                <w:i/>
                <w:iCs/>
                <w:color w:val="000000"/>
                <w:sz w:val="20"/>
                <w:szCs w:val="20"/>
              </w:rPr>
              <w:t xml:space="preserve">California Source Water Assessment Program: </w:t>
            </w:r>
            <w:r w:rsidRPr="00CB4C7C">
              <w:rPr>
                <w:rFonts w:ascii="Calibri" w:eastAsia="Times New Roman" w:hAnsi="Calibri" w:cs="Times New Roman"/>
                <w:i/>
                <w:iCs/>
                <w:color w:val="000000"/>
                <w:sz w:val="20"/>
                <w:szCs w:val="20"/>
              </w:rPr>
              <w:t>The federal Safe Drinking Water Act amendments require each state to develop and implement a Source Water Assessment Program. Each well brought online requires a study under the program.</w:t>
            </w:r>
          </w:p>
        </w:tc>
        <w:tc>
          <w:tcPr>
            <w:tcW w:w="3330" w:type="dxa"/>
            <w:vAlign w:val="center"/>
            <w:hideMark/>
          </w:tcPr>
          <w:p w14:paraId="025C3C40" w14:textId="77777777" w:rsidR="009C3FB9" w:rsidRPr="00CB4C7C" w:rsidRDefault="009C3FB9" w:rsidP="00256DF3">
            <w:pPr>
              <w:rPr>
                <w:rFonts w:ascii="Calibri" w:eastAsia="Times New Roman" w:hAnsi="Calibri" w:cs="Times New Roman"/>
                <w:i/>
                <w:sz w:val="20"/>
                <w:szCs w:val="20"/>
              </w:rPr>
            </w:pPr>
            <w:r w:rsidRPr="00CB4C7C">
              <w:rPr>
                <w:rFonts w:ascii="Calibri" w:eastAsia="Times New Roman" w:hAnsi="Calibri" w:cs="Times New Roman"/>
                <w:i/>
                <w:sz w:val="20"/>
                <w:szCs w:val="20"/>
              </w:rPr>
              <w:t>Annual costs to conduct assessments: $5,000.</w:t>
            </w:r>
          </w:p>
        </w:tc>
        <w:tc>
          <w:tcPr>
            <w:tcW w:w="1710" w:type="dxa"/>
            <w:vAlign w:val="center"/>
            <w:hideMark/>
          </w:tcPr>
          <w:p w14:paraId="27802052" w14:textId="6F778865" w:rsidR="009C3FB9" w:rsidRPr="00CB4C7C" w:rsidRDefault="009C3FB9" w:rsidP="00256DF3">
            <w:pPr>
              <w:jc w:val="center"/>
              <w:rPr>
                <w:rFonts w:ascii="Calibri" w:eastAsia="Times New Roman" w:hAnsi="Calibri" w:cs="Times New Roman"/>
                <w:sz w:val="20"/>
                <w:szCs w:val="20"/>
              </w:rPr>
            </w:pPr>
            <w:r>
              <w:rPr>
                <w:rFonts w:ascii="Calibri" w:eastAsia="Times New Roman" w:hAnsi="Calibri" w:cs="Times New Roman"/>
                <w:sz w:val="20"/>
                <w:szCs w:val="20"/>
              </w:rPr>
              <w:t xml:space="preserve">Minor </w:t>
            </w:r>
            <w:r w:rsidRPr="00CB4C7C">
              <w:rPr>
                <w:rFonts w:ascii="Calibri" w:eastAsia="Times New Roman" w:hAnsi="Calibri" w:cs="Times New Roman"/>
                <w:sz w:val="20"/>
                <w:szCs w:val="20"/>
              </w:rPr>
              <w:t xml:space="preserve"> increase</w:t>
            </w:r>
          </w:p>
        </w:tc>
        <w:tc>
          <w:tcPr>
            <w:tcW w:w="3420" w:type="dxa"/>
            <w:vAlign w:val="center"/>
            <w:hideMark/>
          </w:tcPr>
          <w:p w14:paraId="79649EB0" w14:textId="77777777" w:rsidR="009C3FB9" w:rsidRPr="00CB4C7C" w:rsidRDefault="009C3FB9" w:rsidP="00256DF3">
            <w:pPr>
              <w:rPr>
                <w:rFonts w:ascii="Calibri" w:eastAsia="Times New Roman" w:hAnsi="Calibri" w:cs="Times New Roman"/>
                <w:color w:val="000000"/>
                <w:sz w:val="20"/>
                <w:szCs w:val="20"/>
              </w:rPr>
            </w:pPr>
            <w:r w:rsidRPr="00CB4C7C">
              <w:rPr>
                <w:rFonts w:ascii="Calibri" w:eastAsia="Times New Roman" w:hAnsi="Calibri" w:cs="Times New Roman"/>
                <w:color w:val="000000"/>
                <w:sz w:val="20"/>
                <w:szCs w:val="20"/>
              </w:rPr>
              <w:t>Potential civil and criminal penalties of $25,000 - $50,000 per day of violation under the Safe Drinking Water Act.</w:t>
            </w:r>
          </w:p>
        </w:tc>
      </w:tr>
      <w:tr w:rsidR="009C3FB9" w:rsidRPr="005002AE" w14:paraId="2721B5AE" w14:textId="77777777" w:rsidTr="000A5397">
        <w:trPr>
          <w:trHeight w:val="1607"/>
        </w:trPr>
        <w:tc>
          <w:tcPr>
            <w:tcW w:w="829" w:type="dxa"/>
            <w:shd w:val="clear" w:color="auto" w:fill="F2DBDB" w:themeFill="accent2" w:themeFillTint="33"/>
            <w:textDirection w:val="btLr"/>
            <w:vAlign w:val="center"/>
          </w:tcPr>
          <w:p w14:paraId="0EC6BE17" w14:textId="4FD29054" w:rsidR="009C3FB9" w:rsidRPr="005002AE" w:rsidRDefault="009C3FB9" w:rsidP="00256DF3">
            <w:pPr>
              <w:jc w:val="center"/>
              <w:rPr>
                <w:rFonts w:ascii="Calibri" w:eastAsia="Times New Roman" w:hAnsi="Calibri" w:cs="Times New Roman"/>
                <w:color w:val="000000"/>
              </w:rPr>
            </w:pPr>
            <w:r w:rsidRPr="005002AE">
              <w:rPr>
                <w:rFonts w:ascii="Calibri" w:eastAsia="Times New Roman" w:hAnsi="Calibri" w:cs="Times New Roman"/>
                <w:color w:val="000000"/>
              </w:rPr>
              <w:t>Health &amp; Safety</w:t>
            </w:r>
          </w:p>
        </w:tc>
        <w:tc>
          <w:tcPr>
            <w:tcW w:w="5111" w:type="dxa"/>
            <w:vAlign w:val="center"/>
          </w:tcPr>
          <w:p w14:paraId="7977204A" w14:textId="5BF7C274" w:rsidR="009C3FB9" w:rsidRPr="00CB4C7C" w:rsidRDefault="009C3FB9" w:rsidP="00256DF3">
            <w:pPr>
              <w:rPr>
                <w:rFonts w:ascii="Calibri" w:eastAsia="Times New Roman" w:hAnsi="Calibri" w:cs="Times New Roman"/>
                <w:b/>
                <w:bCs/>
                <w:i/>
                <w:iCs/>
                <w:color w:val="000000"/>
                <w:sz w:val="20"/>
                <w:szCs w:val="20"/>
              </w:rPr>
            </w:pPr>
            <w:r w:rsidRPr="00CB4C7C">
              <w:rPr>
                <w:rFonts w:ascii="Calibri" w:eastAsia="Times New Roman" w:hAnsi="Calibri" w:cs="Times New Roman"/>
                <w:b/>
                <w:bCs/>
                <w:i/>
                <w:iCs/>
                <w:color w:val="000000"/>
                <w:sz w:val="20"/>
                <w:szCs w:val="20"/>
              </w:rPr>
              <w:t>Lead Free Drinking Water Pipes / SB 1334 (2008):</w:t>
            </w:r>
            <w:r w:rsidRPr="00CB4C7C">
              <w:rPr>
                <w:rFonts w:ascii="Calibri" w:eastAsia="Times New Roman" w:hAnsi="Calibri" w:cs="Times New Roman"/>
                <w:i/>
                <w:iCs/>
                <w:color w:val="000000"/>
                <w:sz w:val="20"/>
                <w:szCs w:val="20"/>
              </w:rPr>
              <w:t xml:space="preserve"> Requires the use of lead-free materials in drinking water systems. Requires third-party certification of the lead-free materials.</w:t>
            </w:r>
          </w:p>
        </w:tc>
        <w:tc>
          <w:tcPr>
            <w:tcW w:w="3330" w:type="dxa"/>
            <w:vAlign w:val="center"/>
          </w:tcPr>
          <w:p w14:paraId="6A1EAFF7" w14:textId="4AEBB11C" w:rsidR="009C3FB9" w:rsidRPr="00CB4C7C" w:rsidRDefault="009C3FB9" w:rsidP="00256DF3">
            <w:pPr>
              <w:rPr>
                <w:rFonts w:ascii="Calibri" w:eastAsia="Times New Roman" w:hAnsi="Calibri" w:cs="Times New Roman"/>
                <w:i/>
                <w:sz w:val="20"/>
                <w:szCs w:val="20"/>
              </w:rPr>
            </w:pPr>
            <w:r w:rsidRPr="00CB4C7C">
              <w:rPr>
                <w:rFonts w:ascii="Calibri" w:eastAsia="Times New Roman" w:hAnsi="Calibri" w:cs="Times New Roman"/>
                <w:i/>
                <w:sz w:val="20"/>
                <w:szCs w:val="20"/>
              </w:rPr>
              <w:t>Annual additional cost for certified lead-free materials: $35,000.</w:t>
            </w:r>
          </w:p>
        </w:tc>
        <w:tc>
          <w:tcPr>
            <w:tcW w:w="1710" w:type="dxa"/>
            <w:vAlign w:val="center"/>
          </w:tcPr>
          <w:p w14:paraId="365184F3" w14:textId="4EF65843" w:rsidR="009C3FB9" w:rsidRPr="00CB4C7C" w:rsidRDefault="009C3FB9" w:rsidP="00256DF3">
            <w:pPr>
              <w:jc w:val="center"/>
              <w:rPr>
                <w:rFonts w:ascii="Calibri" w:eastAsia="Times New Roman" w:hAnsi="Calibri" w:cs="Times New Roman"/>
                <w:sz w:val="20"/>
                <w:szCs w:val="20"/>
              </w:rPr>
            </w:pPr>
            <w:r w:rsidRPr="00CB4C7C">
              <w:rPr>
                <w:rFonts w:ascii="Calibri" w:eastAsia="Times New Roman" w:hAnsi="Calibri" w:cs="Times New Roman"/>
                <w:sz w:val="20"/>
                <w:szCs w:val="20"/>
              </w:rPr>
              <w:t>0.1% increase</w:t>
            </w:r>
          </w:p>
        </w:tc>
        <w:tc>
          <w:tcPr>
            <w:tcW w:w="3420" w:type="dxa"/>
            <w:vAlign w:val="center"/>
          </w:tcPr>
          <w:p w14:paraId="70663F88" w14:textId="5BA4DB0E" w:rsidR="009C3FB9" w:rsidRPr="00CB4C7C" w:rsidRDefault="009C3FB9" w:rsidP="00256DF3">
            <w:pPr>
              <w:rPr>
                <w:rFonts w:ascii="Calibri" w:eastAsia="Times New Roman" w:hAnsi="Calibri" w:cs="Times New Roman"/>
                <w:color w:val="000000"/>
                <w:sz w:val="20"/>
                <w:szCs w:val="20"/>
              </w:rPr>
            </w:pPr>
            <w:r w:rsidRPr="00CB4C7C">
              <w:rPr>
                <w:rFonts w:ascii="Calibri" w:eastAsia="Times New Roman" w:hAnsi="Calibri" w:cs="Times New Roman"/>
                <w:color w:val="000000"/>
                <w:sz w:val="20"/>
                <w:szCs w:val="20"/>
              </w:rPr>
              <w:t>Potential penalties of $25,000 for each occurrence, and potential to jeopardize grant and/or loan funding under the Safe Drinking Water State Revolving Fund.</w:t>
            </w:r>
          </w:p>
        </w:tc>
      </w:tr>
    </w:tbl>
    <w:p w14:paraId="4F513C14" w14:textId="77777777" w:rsidR="004D16DF" w:rsidRDefault="004D16DF">
      <w:r>
        <w:br w:type="page"/>
      </w:r>
    </w:p>
    <w:tbl>
      <w:tblPr>
        <w:tblStyle w:val="TableGrid"/>
        <w:tblpPr w:leftFromText="180" w:rightFromText="180" w:vertAnchor="text" w:tblpY="1"/>
        <w:tblOverlap w:val="never"/>
        <w:tblW w:w="14310" w:type="dxa"/>
        <w:tblLook w:val="04A0" w:firstRow="1" w:lastRow="0" w:firstColumn="1" w:lastColumn="0" w:noHBand="0" w:noVBand="1"/>
      </w:tblPr>
      <w:tblGrid>
        <w:gridCol w:w="830"/>
        <w:gridCol w:w="5110"/>
        <w:gridCol w:w="3330"/>
        <w:gridCol w:w="1710"/>
        <w:gridCol w:w="3330"/>
      </w:tblGrid>
      <w:tr w:rsidR="009C3FB9" w:rsidRPr="004D7627" w14:paraId="62B08706" w14:textId="77777777" w:rsidTr="00834D25">
        <w:trPr>
          <w:trHeight w:val="710"/>
        </w:trPr>
        <w:tc>
          <w:tcPr>
            <w:tcW w:w="5940" w:type="dxa"/>
            <w:gridSpan w:val="2"/>
            <w:tcBorders>
              <w:top w:val="nil"/>
              <w:left w:val="nil"/>
              <w:bottom w:val="single" w:sz="4" w:space="0" w:color="auto"/>
              <w:right w:val="single" w:sz="4" w:space="0" w:color="auto"/>
            </w:tcBorders>
            <w:shd w:val="clear" w:color="auto" w:fill="auto"/>
            <w:textDirection w:val="btLr"/>
            <w:vAlign w:val="center"/>
          </w:tcPr>
          <w:p w14:paraId="7A7AB476" w14:textId="77777777" w:rsidR="009C3FB9" w:rsidRPr="00CB4C7C" w:rsidRDefault="009C3FB9" w:rsidP="00834D25">
            <w:pPr>
              <w:rPr>
                <w:rFonts w:ascii="Calibri" w:eastAsia="Times New Roman" w:hAnsi="Calibri" w:cs="Times New Roman"/>
                <w:b/>
                <w:bCs/>
                <w:i/>
                <w:iCs/>
                <w:sz w:val="20"/>
                <w:szCs w:val="20"/>
              </w:rPr>
            </w:pPr>
          </w:p>
        </w:tc>
        <w:tc>
          <w:tcPr>
            <w:tcW w:w="3330" w:type="dxa"/>
            <w:tcBorders>
              <w:left w:val="single" w:sz="4" w:space="0" w:color="auto"/>
            </w:tcBorders>
            <w:shd w:val="clear" w:color="auto" w:fill="F2DBDB" w:themeFill="accent2" w:themeFillTint="33"/>
            <w:vAlign w:val="center"/>
          </w:tcPr>
          <w:p w14:paraId="506A13F8" w14:textId="77777777" w:rsidR="009C3FB9" w:rsidRPr="004D7627" w:rsidRDefault="009C3FB9" w:rsidP="00834D25">
            <w:pPr>
              <w:jc w:val="center"/>
              <w:rPr>
                <w:rFonts w:ascii="Calibri" w:eastAsia="Times New Roman" w:hAnsi="Calibri" w:cs="Times New Roman"/>
                <w:b/>
                <w:bCs/>
                <w:color w:val="000000"/>
              </w:rPr>
            </w:pPr>
            <w:r w:rsidRPr="004D7627">
              <w:rPr>
                <w:rFonts w:ascii="Calibri" w:eastAsia="Times New Roman" w:hAnsi="Calibri" w:cs="Times New Roman"/>
                <w:b/>
                <w:bCs/>
                <w:color w:val="000000"/>
              </w:rPr>
              <w:t>Estimated Cost of Implementation</w:t>
            </w:r>
          </w:p>
        </w:tc>
        <w:tc>
          <w:tcPr>
            <w:tcW w:w="1710" w:type="dxa"/>
            <w:shd w:val="clear" w:color="auto" w:fill="E5DFEC" w:themeFill="accent4" w:themeFillTint="33"/>
            <w:vAlign w:val="center"/>
          </w:tcPr>
          <w:p w14:paraId="108CE9BD" w14:textId="77777777" w:rsidR="009C3FB9" w:rsidRPr="004D7627" w:rsidRDefault="009C3FB9" w:rsidP="00834D25">
            <w:pPr>
              <w:jc w:val="center"/>
              <w:rPr>
                <w:rFonts w:ascii="Calibri" w:eastAsia="Times New Roman" w:hAnsi="Calibri" w:cs="Times New Roman"/>
                <w:b/>
                <w:bCs/>
                <w:color w:val="000000"/>
              </w:rPr>
            </w:pPr>
            <w:r w:rsidRPr="004D7627">
              <w:rPr>
                <w:rFonts w:ascii="Calibri" w:eastAsia="Times New Roman" w:hAnsi="Calibri" w:cs="Times New Roman"/>
                <w:b/>
                <w:bCs/>
                <w:color w:val="000000"/>
              </w:rPr>
              <w:t>Estimated Rate Impact</w:t>
            </w:r>
          </w:p>
        </w:tc>
        <w:tc>
          <w:tcPr>
            <w:tcW w:w="3330" w:type="dxa"/>
            <w:shd w:val="clear" w:color="auto" w:fill="DAEEF3" w:themeFill="accent5" w:themeFillTint="33"/>
            <w:vAlign w:val="center"/>
          </w:tcPr>
          <w:p w14:paraId="08EFA692" w14:textId="77777777" w:rsidR="009C3FB9" w:rsidRPr="004D7627" w:rsidRDefault="009C3FB9" w:rsidP="00834D25">
            <w:pPr>
              <w:jc w:val="center"/>
              <w:rPr>
                <w:rFonts w:ascii="Calibri" w:eastAsia="Times New Roman" w:hAnsi="Calibri" w:cs="Times New Roman"/>
                <w:b/>
                <w:bCs/>
                <w:color w:val="000000"/>
              </w:rPr>
            </w:pPr>
            <w:r w:rsidRPr="004D7627">
              <w:rPr>
                <w:rFonts w:ascii="Calibri" w:eastAsia="Times New Roman" w:hAnsi="Calibri" w:cs="Times New Roman"/>
                <w:b/>
                <w:bCs/>
                <w:color w:val="000000"/>
              </w:rPr>
              <w:t>Penalties / Other Potential Cost Impacts</w:t>
            </w:r>
          </w:p>
        </w:tc>
      </w:tr>
      <w:tr w:rsidR="009C3FB9" w:rsidRPr="005002AE" w14:paraId="2E1765D7" w14:textId="77777777" w:rsidTr="00834D25">
        <w:trPr>
          <w:trHeight w:val="1607"/>
        </w:trPr>
        <w:tc>
          <w:tcPr>
            <w:tcW w:w="830" w:type="dxa"/>
            <w:tcBorders>
              <w:bottom w:val="single" w:sz="4" w:space="0" w:color="auto"/>
            </w:tcBorders>
            <w:shd w:val="clear" w:color="auto" w:fill="DDD9C3" w:themeFill="background2" w:themeFillShade="E6"/>
            <w:textDirection w:val="btLr"/>
            <w:vAlign w:val="center"/>
          </w:tcPr>
          <w:p w14:paraId="595FF286" w14:textId="3401C01C" w:rsidR="009C3FB9" w:rsidRPr="005002AE" w:rsidRDefault="009C3FB9" w:rsidP="00834D25">
            <w:pPr>
              <w:jc w:val="center"/>
              <w:rPr>
                <w:rFonts w:ascii="Calibri" w:eastAsia="Times New Roman" w:hAnsi="Calibri" w:cs="Times New Roman"/>
                <w:color w:val="000000"/>
              </w:rPr>
            </w:pPr>
            <w:r w:rsidRPr="005002AE">
              <w:rPr>
                <w:rFonts w:ascii="Calibri" w:eastAsia="Times New Roman" w:hAnsi="Calibri" w:cs="Times New Roman"/>
                <w:color w:val="000000"/>
              </w:rPr>
              <w:t>Customer Notice Requirements</w:t>
            </w:r>
          </w:p>
        </w:tc>
        <w:tc>
          <w:tcPr>
            <w:tcW w:w="5110" w:type="dxa"/>
            <w:tcBorders>
              <w:bottom w:val="single" w:sz="4" w:space="0" w:color="auto"/>
            </w:tcBorders>
            <w:vAlign w:val="center"/>
          </w:tcPr>
          <w:p w14:paraId="50E7F24B" w14:textId="08ED5AB5" w:rsidR="009C3FB9" w:rsidRPr="00CB4C7C" w:rsidRDefault="009C3FB9" w:rsidP="00834D25">
            <w:pPr>
              <w:rPr>
                <w:rFonts w:ascii="Calibri" w:eastAsia="Times New Roman" w:hAnsi="Calibri" w:cs="Times New Roman"/>
                <w:b/>
                <w:bCs/>
                <w:i/>
                <w:iCs/>
                <w:color w:val="000000"/>
                <w:sz w:val="20"/>
                <w:szCs w:val="20"/>
              </w:rPr>
            </w:pPr>
            <w:r w:rsidRPr="00CB4C7C">
              <w:rPr>
                <w:rFonts w:ascii="Calibri" w:eastAsia="Times New Roman" w:hAnsi="Calibri" w:cs="Times New Roman"/>
                <w:b/>
                <w:bCs/>
                <w:i/>
                <w:iCs/>
                <w:color w:val="000000"/>
                <w:sz w:val="20"/>
                <w:szCs w:val="20"/>
              </w:rPr>
              <w:t xml:space="preserve">Local Government Charges / AB 1260 (2007): </w:t>
            </w:r>
            <w:r w:rsidRPr="00CB4C7C">
              <w:rPr>
                <w:rFonts w:ascii="Calibri" w:eastAsia="Times New Roman" w:hAnsi="Calibri" w:cs="Times New Roman"/>
                <w:i/>
                <w:iCs/>
                <w:color w:val="000000"/>
                <w:sz w:val="20"/>
                <w:szCs w:val="20"/>
              </w:rPr>
              <w:t>Requires specific customer notifications for proposed new or increased rates or fees.</w:t>
            </w:r>
          </w:p>
        </w:tc>
        <w:tc>
          <w:tcPr>
            <w:tcW w:w="3330" w:type="dxa"/>
            <w:tcBorders>
              <w:bottom w:val="single" w:sz="4" w:space="0" w:color="auto"/>
            </w:tcBorders>
            <w:vAlign w:val="center"/>
          </w:tcPr>
          <w:p w14:paraId="6D470B7F" w14:textId="14BD799E" w:rsidR="009C3FB9" w:rsidRPr="00CB4C7C" w:rsidRDefault="009C3FB9" w:rsidP="00834D25">
            <w:pPr>
              <w:rPr>
                <w:rFonts w:ascii="Calibri" w:eastAsia="Times New Roman" w:hAnsi="Calibri" w:cs="Times New Roman"/>
                <w:i/>
                <w:sz w:val="20"/>
                <w:szCs w:val="20"/>
              </w:rPr>
            </w:pPr>
            <w:r w:rsidRPr="00CB4C7C">
              <w:rPr>
                <w:rFonts w:ascii="Calibri" w:eastAsia="Times New Roman" w:hAnsi="Calibri" w:cs="Times New Roman"/>
                <w:i/>
                <w:sz w:val="20"/>
                <w:szCs w:val="20"/>
              </w:rPr>
              <w:t>Cost per rate action for increased notification requirements: $46,000.</w:t>
            </w:r>
          </w:p>
        </w:tc>
        <w:tc>
          <w:tcPr>
            <w:tcW w:w="1710" w:type="dxa"/>
            <w:tcBorders>
              <w:bottom w:val="single" w:sz="4" w:space="0" w:color="auto"/>
            </w:tcBorders>
            <w:vAlign w:val="center"/>
          </w:tcPr>
          <w:p w14:paraId="599108B0" w14:textId="43EF6E27" w:rsidR="009C3FB9" w:rsidRPr="00CB4C7C" w:rsidRDefault="009C3FB9" w:rsidP="00834D25">
            <w:pPr>
              <w:jc w:val="center"/>
              <w:rPr>
                <w:rFonts w:ascii="Calibri" w:eastAsia="Times New Roman" w:hAnsi="Calibri" w:cs="Times New Roman"/>
                <w:sz w:val="20"/>
                <w:szCs w:val="20"/>
              </w:rPr>
            </w:pPr>
            <w:r w:rsidRPr="00CB4C7C">
              <w:rPr>
                <w:rFonts w:ascii="Calibri" w:eastAsia="Times New Roman" w:hAnsi="Calibri" w:cs="Times New Roman"/>
                <w:sz w:val="20"/>
                <w:szCs w:val="20"/>
              </w:rPr>
              <w:t>0.1% increase</w:t>
            </w:r>
          </w:p>
        </w:tc>
        <w:tc>
          <w:tcPr>
            <w:tcW w:w="3330" w:type="dxa"/>
            <w:tcBorders>
              <w:bottom w:val="single" w:sz="4" w:space="0" w:color="auto"/>
            </w:tcBorders>
            <w:vAlign w:val="center"/>
          </w:tcPr>
          <w:p w14:paraId="2C072407" w14:textId="53619A25" w:rsidR="009C3FB9" w:rsidRPr="00CB4C7C" w:rsidRDefault="009C3FB9" w:rsidP="00834D25">
            <w:pPr>
              <w:rPr>
                <w:rFonts w:ascii="Calibri" w:eastAsia="Times New Roman" w:hAnsi="Calibri" w:cs="Times New Roman"/>
                <w:color w:val="000000"/>
                <w:sz w:val="20"/>
                <w:szCs w:val="20"/>
              </w:rPr>
            </w:pPr>
            <w:r w:rsidRPr="00CB4C7C">
              <w:rPr>
                <w:rFonts w:ascii="Calibri" w:eastAsia="Times New Roman" w:hAnsi="Calibri" w:cs="Times New Roman"/>
                <w:color w:val="000000"/>
                <w:sz w:val="20"/>
                <w:szCs w:val="20"/>
              </w:rPr>
              <w:t>Improper noticing could result in challenges to the implementation of rates or fees.</w:t>
            </w:r>
          </w:p>
        </w:tc>
      </w:tr>
      <w:tr w:rsidR="009C3FB9" w:rsidRPr="005002AE" w14:paraId="041519E1" w14:textId="77777777" w:rsidTr="00834D25">
        <w:trPr>
          <w:cantSplit/>
          <w:trHeight w:val="1728"/>
        </w:trPr>
        <w:tc>
          <w:tcPr>
            <w:tcW w:w="830" w:type="dxa"/>
            <w:tcBorders>
              <w:bottom w:val="single" w:sz="4" w:space="0" w:color="auto"/>
            </w:tcBorders>
            <w:shd w:val="clear" w:color="auto" w:fill="E5DFEC" w:themeFill="accent4" w:themeFillTint="33"/>
            <w:textDirection w:val="btLr"/>
            <w:vAlign w:val="center"/>
          </w:tcPr>
          <w:p w14:paraId="6D2B016D" w14:textId="6DD948B3" w:rsidR="009C3FB9" w:rsidRPr="005002AE" w:rsidRDefault="009C3FB9" w:rsidP="00834D25">
            <w:pPr>
              <w:jc w:val="center"/>
              <w:rPr>
                <w:rFonts w:ascii="Calibri" w:eastAsia="Times New Roman" w:hAnsi="Calibri" w:cs="Times New Roman"/>
                <w:color w:val="000000"/>
              </w:rPr>
            </w:pPr>
            <w:r w:rsidRPr="005002AE">
              <w:rPr>
                <w:rFonts w:ascii="Calibri" w:eastAsia="Times New Roman" w:hAnsi="Calibri" w:cs="Times New Roman"/>
                <w:color w:val="000000"/>
              </w:rPr>
              <w:t xml:space="preserve">Invasive Aquatic Species </w:t>
            </w:r>
            <w:r>
              <w:rPr>
                <w:rFonts w:ascii="Calibri" w:eastAsia="Times New Roman" w:hAnsi="Calibri" w:cs="Times New Roman"/>
                <w:color w:val="000000"/>
              </w:rPr>
              <w:t>M</w:t>
            </w:r>
            <w:r w:rsidRPr="005002AE">
              <w:rPr>
                <w:rFonts w:ascii="Calibri" w:eastAsia="Times New Roman" w:hAnsi="Calibri" w:cs="Times New Roman"/>
                <w:color w:val="000000"/>
              </w:rPr>
              <w:t>itigation</w:t>
            </w:r>
          </w:p>
        </w:tc>
        <w:tc>
          <w:tcPr>
            <w:tcW w:w="5110" w:type="dxa"/>
            <w:tcBorders>
              <w:bottom w:val="single" w:sz="4" w:space="0" w:color="auto"/>
            </w:tcBorders>
            <w:vAlign w:val="center"/>
          </w:tcPr>
          <w:p w14:paraId="4B451267" w14:textId="77777777" w:rsidR="009C3FB9" w:rsidRDefault="009C3FB9" w:rsidP="00834D25">
            <w:pPr>
              <w:rPr>
                <w:rFonts w:ascii="Calibri" w:eastAsia="Times New Roman" w:hAnsi="Calibri" w:cs="Times New Roman"/>
                <w:i/>
                <w:iCs/>
                <w:color w:val="000000"/>
                <w:sz w:val="20"/>
                <w:szCs w:val="20"/>
              </w:rPr>
            </w:pPr>
            <w:r w:rsidRPr="00CB4C7C">
              <w:rPr>
                <w:rFonts w:ascii="Calibri" w:eastAsia="Times New Roman" w:hAnsi="Calibri" w:cs="Times New Roman"/>
                <w:b/>
                <w:bCs/>
                <w:i/>
                <w:iCs/>
                <w:color w:val="000000"/>
                <w:sz w:val="20"/>
                <w:szCs w:val="20"/>
              </w:rPr>
              <w:t xml:space="preserve">Invasive Aquatic Species / AB 1683 (2007): </w:t>
            </w:r>
            <w:r w:rsidRPr="00CB4C7C">
              <w:rPr>
                <w:rFonts w:ascii="Calibri" w:eastAsia="Times New Roman" w:hAnsi="Calibri" w:cs="Times New Roman"/>
                <w:i/>
                <w:iCs/>
                <w:color w:val="000000"/>
                <w:sz w:val="20"/>
                <w:szCs w:val="20"/>
              </w:rPr>
              <w:t>Requires the implementation of measures to avoid infestation by invasive species (including quagga and zebra mussels) and the control or eradication of any infestation that may occur in the water supply system.</w:t>
            </w:r>
          </w:p>
          <w:p w14:paraId="25E293EE" w14:textId="72AC9B64" w:rsidR="009C3FB9" w:rsidRPr="00CB4C7C" w:rsidRDefault="009C3FB9" w:rsidP="00834D25">
            <w:pPr>
              <w:rPr>
                <w:rFonts w:ascii="Calibri" w:eastAsia="Times New Roman" w:hAnsi="Calibri" w:cs="Times New Roman"/>
                <w:b/>
                <w:bCs/>
                <w:i/>
                <w:iCs/>
                <w:color w:val="000000"/>
                <w:sz w:val="20"/>
                <w:szCs w:val="20"/>
              </w:rPr>
            </w:pPr>
          </w:p>
        </w:tc>
        <w:tc>
          <w:tcPr>
            <w:tcW w:w="3330" w:type="dxa"/>
            <w:tcBorders>
              <w:bottom w:val="single" w:sz="4" w:space="0" w:color="auto"/>
            </w:tcBorders>
            <w:vAlign w:val="center"/>
          </w:tcPr>
          <w:p w14:paraId="62D22E9B" w14:textId="77777777" w:rsidR="009C3FB9" w:rsidRPr="00CB4C7C" w:rsidRDefault="009C3FB9" w:rsidP="00834D25">
            <w:pPr>
              <w:rPr>
                <w:rFonts w:ascii="Calibri" w:eastAsia="Times New Roman" w:hAnsi="Calibri" w:cs="Times New Roman"/>
                <w:i/>
                <w:sz w:val="20"/>
                <w:szCs w:val="20"/>
              </w:rPr>
            </w:pPr>
            <w:r w:rsidRPr="00CB4C7C">
              <w:rPr>
                <w:rFonts w:ascii="Calibri" w:eastAsia="Times New Roman" w:hAnsi="Calibri" w:cs="Times New Roman"/>
                <w:i/>
                <w:sz w:val="20"/>
                <w:szCs w:val="20"/>
              </w:rPr>
              <w:t xml:space="preserve">One-time cost to develop an infestation control plan: $25,000. </w:t>
            </w:r>
          </w:p>
          <w:p w14:paraId="3452E413" w14:textId="77777777" w:rsidR="009C3FB9" w:rsidRPr="00CB4C7C" w:rsidRDefault="009C3FB9" w:rsidP="00834D25">
            <w:pPr>
              <w:rPr>
                <w:rFonts w:ascii="Calibri" w:eastAsia="Times New Roman" w:hAnsi="Calibri" w:cs="Times New Roman"/>
                <w:i/>
                <w:sz w:val="20"/>
                <w:szCs w:val="20"/>
              </w:rPr>
            </w:pPr>
          </w:p>
          <w:p w14:paraId="0051E982" w14:textId="6B0478BA" w:rsidR="009C3FB9" w:rsidRPr="00CB4C7C" w:rsidRDefault="009C3FB9" w:rsidP="00834D25">
            <w:pPr>
              <w:rPr>
                <w:rFonts w:ascii="Calibri" w:eastAsia="Times New Roman" w:hAnsi="Calibri" w:cs="Times New Roman"/>
                <w:i/>
                <w:sz w:val="20"/>
                <w:szCs w:val="20"/>
              </w:rPr>
            </w:pPr>
            <w:r w:rsidRPr="00CB4C7C">
              <w:rPr>
                <w:rFonts w:ascii="Calibri" w:eastAsia="Times New Roman" w:hAnsi="Calibri" w:cs="Times New Roman"/>
                <w:i/>
                <w:sz w:val="20"/>
                <w:szCs w:val="20"/>
              </w:rPr>
              <w:t>Annual monitoring and maintenance costs: $15,000.</w:t>
            </w:r>
          </w:p>
        </w:tc>
        <w:tc>
          <w:tcPr>
            <w:tcW w:w="1710" w:type="dxa"/>
            <w:tcBorders>
              <w:bottom w:val="single" w:sz="4" w:space="0" w:color="auto"/>
            </w:tcBorders>
            <w:vAlign w:val="center"/>
          </w:tcPr>
          <w:p w14:paraId="6177BDBF" w14:textId="259870E2" w:rsidR="009C3FB9" w:rsidRPr="00CB4C7C" w:rsidRDefault="009C3FB9" w:rsidP="00834D25">
            <w:pPr>
              <w:jc w:val="center"/>
              <w:rPr>
                <w:rFonts w:ascii="Calibri" w:eastAsia="Times New Roman" w:hAnsi="Calibri" w:cs="Times New Roman"/>
                <w:sz w:val="20"/>
                <w:szCs w:val="20"/>
              </w:rPr>
            </w:pPr>
            <w:r w:rsidRPr="00CB4C7C">
              <w:rPr>
                <w:rFonts w:ascii="Calibri" w:eastAsia="Times New Roman" w:hAnsi="Calibri" w:cs="Times New Roman"/>
                <w:sz w:val="20"/>
                <w:szCs w:val="20"/>
              </w:rPr>
              <w:t>0.03% increase</w:t>
            </w:r>
          </w:p>
        </w:tc>
        <w:tc>
          <w:tcPr>
            <w:tcW w:w="3330" w:type="dxa"/>
            <w:tcBorders>
              <w:bottom w:val="single" w:sz="4" w:space="0" w:color="auto"/>
            </w:tcBorders>
            <w:vAlign w:val="center"/>
          </w:tcPr>
          <w:p w14:paraId="49B737F5" w14:textId="642F4493" w:rsidR="009C3FB9" w:rsidRPr="00CB4C7C" w:rsidRDefault="009C3FB9" w:rsidP="00834D25">
            <w:pPr>
              <w:rPr>
                <w:rFonts w:ascii="Calibri" w:eastAsia="Times New Roman" w:hAnsi="Calibri" w:cs="Times New Roman"/>
                <w:color w:val="000000"/>
                <w:sz w:val="20"/>
                <w:szCs w:val="20"/>
              </w:rPr>
            </w:pPr>
            <w:r w:rsidRPr="00CB4C7C">
              <w:rPr>
                <w:rFonts w:ascii="Calibri" w:eastAsia="Times New Roman" w:hAnsi="Calibri" w:cs="Times New Roman"/>
                <w:color w:val="000000"/>
                <w:sz w:val="20"/>
                <w:szCs w:val="20"/>
              </w:rPr>
              <w:t>Potential penalties of $1,000 for a violation.</w:t>
            </w:r>
          </w:p>
        </w:tc>
      </w:tr>
      <w:tr w:rsidR="009C3FB9" w:rsidRPr="005002AE" w14:paraId="0EC2ADB6" w14:textId="77777777" w:rsidTr="00834D25">
        <w:trPr>
          <w:trHeight w:val="1607"/>
        </w:trPr>
        <w:tc>
          <w:tcPr>
            <w:tcW w:w="830" w:type="dxa"/>
            <w:tcBorders>
              <w:top w:val="single" w:sz="4" w:space="0" w:color="auto"/>
              <w:left w:val="nil"/>
              <w:bottom w:val="nil"/>
              <w:right w:val="nil"/>
            </w:tcBorders>
            <w:shd w:val="clear" w:color="auto" w:fill="auto"/>
            <w:textDirection w:val="btLr"/>
            <w:vAlign w:val="center"/>
          </w:tcPr>
          <w:p w14:paraId="49ED2BE6" w14:textId="77777777" w:rsidR="009C3FB9" w:rsidRPr="005002AE" w:rsidRDefault="009C3FB9" w:rsidP="00834D25">
            <w:pPr>
              <w:jc w:val="center"/>
              <w:rPr>
                <w:rFonts w:ascii="Calibri" w:eastAsia="Times New Roman" w:hAnsi="Calibri" w:cs="Times New Roman"/>
                <w:color w:val="000000"/>
              </w:rPr>
            </w:pPr>
          </w:p>
        </w:tc>
        <w:tc>
          <w:tcPr>
            <w:tcW w:w="5110" w:type="dxa"/>
            <w:tcBorders>
              <w:top w:val="single" w:sz="4" w:space="0" w:color="auto"/>
              <w:left w:val="nil"/>
              <w:bottom w:val="nil"/>
              <w:right w:val="single" w:sz="4" w:space="0" w:color="auto"/>
            </w:tcBorders>
            <w:shd w:val="clear" w:color="auto" w:fill="auto"/>
            <w:vAlign w:val="center"/>
          </w:tcPr>
          <w:p w14:paraId="2ABA035A" w14:textId="77777777" w:rsidR="009C3FB9" w:rsidRPr="00541A16" w:rsidRDefault="009C3FB9" w:rsidP="00834D25">
            <w:pPr>
              <w:rPr>
                <w:rFonts w:ascii="Calibri" w:eastAsia="Times New Roman" w:hAnsi="Calibri" w:cs="Times New Roman"/>
                <w:b/>
                <w:bCs/>
                <w:i/>
                <w:iCs/>
                <w:color w:val="000000"/>
                <w:sz w:val="20"/>
                <w:szCs w:val="20"/>
              </w:rPr>
            </w:pP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74D79" w14:textId="77777777" w:rsidR="009C3FB9" w:rsidRPr="00541A16" w:rsidRDefault="009C3FB9" w:rsidP="00834D25">
            <w:pPr>
              <w:rPr>
                <w:rFonts w:ascii="Calibri" w:eastAsia="Times New Roman" w:hAnsi="Calibri" w:cs="Times New Roman"/>
                <w:b/>
                <w:bCs/>
                <w:i/>
                <w:iCs/>
                <w:sz w:val="20"/>
                <w:szCs w:val="20"/>
              </w:rPr>
            </w:pPr>
            <w:r w:rsidRPr="00541A16">
              <w:rPr>
                <w:rFonts w:ascii="Calibri" w:eastAsia="Times New Roman" w:hAnsi="Calibri" w:cs="Times New Roman"/>
                <w:b/>
                <w:bCs/>
                <w:i/>
                <w:iCs/>
                <w:sz w:val="20"/>
                <w:szCs w:val="20"/>
              </w:rPr>
              <w:t xml:space="preserve">The estimated rate impact over the next 10 years is 5%. </w:t>
            </w:r>
          </w:p>
          <w:p w14:paraId="3393EBBB" w14:textId="77777777" w:rsidR="009C3FB9" w:rsidRPr="00541A16" w:rsidRDefault="009C3FB9" w:rsidP="00834D25">
            <w:pPr>
              <w:rPr>
                <w:rFonts w:ascii="Calibri" w:eastAsia="Times New Roman" w:hAnsi="Calibri" w:cs="Times New Roman"/>
                <w:bCs/>
                <w:iCs/>
                <w:sz w:val="8"/>
                <w:szCs w:val="8"/>
              </w:rPr>
            </w:pPr>
          </w:p>
          <w:p w14:paraId="783E8382" w14:textId="4CC7376E" w:rsidR="009C3FB9" w:rsidRPr="00541A16" w:rsidRDefault="009C3FB9" w:rsidP="00834D25">
            <w:pPr>
              <w:jc w:val="center"/>
              <w:rPr>
                <w:rFonts w:ascii="Calibri" w:eastAsia="Times New Roman" w:hAnsi="Calibri" w:cs="Times New Roman"/>
                <w:sz w:val="20"/>
                <w:szCs w:val="20"/>
              </w:rPr>
            </w:pPr>
            <w:r w:rsidRPr="00541A16">
              <w:rPr>
                <w:rFonts w:ascii="Calibri" w:eastAsia="Times New Roman" w:hAnsi="Calibri" w:cs="Times New Roman"/>
                <w:b/>
                <w:bCs/>
                <w:i/>
                <w:iCs/>
                <w:sz w:val="20"/>
                <w:szCs w:val="20"/>
              </w:rPr>
              <w:t>Most rate increases for the water system stem from the cost of purchasing water and not from legislative / regulatory actions, for now.</w:t>
            </w:r>
          </w:p>
        </w:tc>
        <w:tc>
          <w:tcPr>
            <w:tcW w:w="3330" w:type="dxa"/>
            <w:tcBorders>
              <w:top w:val="single" w:sz="4" w:space="0" w:color="auto"/>
              <w:left w:val="single" w:sz="4" w:space="0" w:color="auto"/>
              <w:bottom w:val="nil"/>
              <w:right w:val="nil"/>
            </w:tcBorders>
            <w:shd w:val="clear" w:color="auto" w:fill="auto"/>
            <w:vAlign w:val="center"/>
          </w:tcPr>
          <w:p w14:paraId="114818E0" w14:textId="77777777" w:rsidR="009C3FB9" w:rsidRPr="00CB4C7C" w:rsidRDefault="009C3FB9" w:rsidP="00834D25">
            <w:pPr>
              <w:rPr>
                <w:rFonts w:ascii="Calibri" w:eastAsia="Times New Roman" w:hAnsi="Calibri" w:cs="Times New Roman"/>
                <w:color w:val="000000"/>
                <w:sz w:val="20"/>
                <w:szCs w:val="20"/>
              </w:rPr>
            </w:pPr>
          </w:p>
        </w:tc>
      </w:tr>
    </w:tbl>
    <w:p w14:paraId="4E5CEF48" w14:textId="4E7E3676" w:rsidR="00E21ACE" w:rsidRDefault="00E21ACE" w:rsidP="00973F0A"/>
    <w:sectPr w:rsidR="00E21ACE" w:rsidSect="003F0650">
      <w:headerReference w:type="default" r:id="rId7"/>
      <w:footerReference w:type="default" r:id="rId8"/>
      <w:pgSz w:w="15840" w:h="12240" w:orient="landscape"/>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420F9" w14:textId="77777777" w:rsidR="004510DE" w:rsidRDefault="004510DE" w:rsidP="005002AE">
      <w:pPr>
        <w:spacing w:after="0" w:line="240" w:lineRule="auto"/>
      </w:pPr>
      <w:r>
        <w:separator/>
      </w:r>
    </w:p>
  </w:endnote>
  <w:endnote w:type="continuationSeparator" w:id="0">
    <w:p w14:paraId="74133B24" w14:textId="77777777" w:rsidR="004510DE" w:rsidRDefault="004510DE" w:rsidP="0050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2B475" w14:textId="77777777" w:rsidR="005002AE" w:rsidRDefault="005002AE" w:rsidP="005002AE">
    <w:pPr>
      <w:pStyle w:val="Footer"/>
      <w:jc w:val="center"/>
    </w:pPr>
    <w:r>
      <w:t>Estimates are not audited, nor exact, but provide an overall context</w:t>
    </w:r>
    <w:r w:rsidR="003F0650">
      <w:t xml:space="preserve"> </w:t>
    </w:r>
    <w:r>
      <w:t>of the aggregate potential economic impact of recently passed legislation.</w:t>
    </w:r>
  </w:p>
  <w:p w14:paraId="2D0ED4CC" w14:textId="2A9F8F85" w:rsidR="005002AE" w:rsidRDefault="004D16DF" w:rsidP="000A3FBF">
    <w:pPr>
      <w:pStyle w:val="Footer"/>
      <w:tabs>
        <w:tab w:val="clear" w:pos="4680"/>
        <w:tab w:val="clear" w:pos="9360"/>
        <w:tab w:val="left" w:pos="13350"/>
      </w:tabs>
    </w:pPr>
    <w:r>
      <w:t xml:space="preserve">October </w:t>
    </w:r>
    <w:r w:rsidR="009416BA">
      <w:t>2024</w:t>
    </w:r>
    <w:r w:rsidR="000A3FBF">
      <w:tab/>
      <w:t xml:space="preserve">Page </w:t>
    </w:r>
    <w:r w:rsidR="000A3FBF">
      <w:fldChar w:fldCharType="begin"/>
    </w:r>
    <w:r w:rsidR="000A3FBF">
      <w:instrText xml:space="preserve"> PAGE  \* Arabic  \* MERGEFORMAT </w:instrText>
    </w:r>
    <w:r w:rsidR="000A3FBF">
      <w:fldChar w:fldCharType="separate"/>
    </w:r>
    <w:r w:rsidR="009A6E88">
      <w:rPr>
        <w:noProof/>
      </w:rPr>
      <w:t>4</w:t>
    </w:r>
    <w:r w:rsidR="000A3FB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8ED21" w14:textId="77777777" w:rsidR="004510DE" w:rsidRDefault="004510DE" w:rsidP="005002AE">
      <w:pPr>
        <w:spacing w:after="0" w:line="240" w:lineRule="auto"/>
      </w:pPr>
      <w:r>
        <w:separator/>
      </w:r>
    </w:p>
  </w:footnote>
  <w:footnote w:type="continuationSeparator" w:id="0">
    <w:p w14:paraId="7AEEB53B" w14:textId="77777777" w:rsidR="004510DE" w:rsidRDefault="004510DE" w:rsidP="00500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868A5" w14:textId="25FFBFB6" w:rsidR="005002AE" w:rsidRPr="005002AE" w:rsidRDefault="005002AE" w:rsidP="004E547A">
    <w:pPr>
      <w:pStyle w:val="Header"/>
      <w:jc w:val="center"/>
      <w:rPr>
        <w:b/>
        <w:sz w:val="24"/>
        <w:szCs w:val="24"/>
      </w:rPr>
    </w:pPr>
    <w:r w:rsidRPr="005002AE">
      <w:rPr>
        <w:b/>
        <w:sz w:val="24"/>
        <w:szCs w:val="24"/>
      </w:rPr>
      <w:t>Anaheim Public Utilities</w:t>
    </w:r>
  </w:p>
  <w:p w14:paraId="61C331E5" w14:textId="121186AA" w:rsidR="005002AE" w:rsidRDefault="005002AE" w:rsidP="005002AE">
    <w:pPr>
      <w:pStyle w:val="Header"/>
      <w:jc w:val="center"/>
      <w:rPr>
        <w:b/>
        <w:sz w:val="24"/>
        <w:szCs w:val="24"/>
      </w:rPr>
    </w:pPr>
    <w:r w:rsidRPr="005002AE">
      <w:rPr>
        <w:b/>
        <w:sz w:val="24"/>
        <w:szCs w:val="24"/>
      </w:rPr>
      <w:t>Estimated Cost Impacts of</w:t>
    </w:r>
    <w:r w:rsidR="005A39DB">
      <w:rPr>
        <w:b/>
        <w:sz w:val="24"/>
        <w:szCs w:val="24"/>
      </w:rPr>
      <w:t xml:space="preserve"> </w:t>
    </w:r>
    <w:r w:rsidRPr="005002AE">
      <w:rPr>
        <w:b/>
        <w:sz w:val="24"/>
        <w:szCs w:val="24"/>
      </w:rPr>
      <w:t>Legislation Impacting Water Operations</w:t>
    </w:r>
  </w:p>
  <w:p w14:paraId="185E01A0" w14:textId="77777777" w:rsidR="003F0650" w:rsidRDefault="003F0650" w:rsidP="005002AE">
    <w:pPr>
      <w:pStyle w:val="Header"/>
      <w:jc w:val="center"/>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2AE"/>
    <w:rsid w:val="0000319F"/>
    <w:rsid w:val="0000619F"/>
    <w:rsid w:val="00032DB0"/>
    <w:rsid w:val="00036945"/>
    <w:rsid w:val="00055C7F"/>
    <w:rsid w:val="000565BD"/>
    <w:rsid w:val="00062012"/>
    <w:rsid w:val="00064403"/>
    <w:rsid w:val="0006547C"/>
    <w:rsid w:val="000750EF"/>
    <w:rsid w:val="000834B4"/>
    <w:rsid w:val="000A0EFD"/>
    <w:rsid w:val="000A3821"/>
    <w:rsid w:val="000A3FBF"/>
    <w:rsid w:val="000A5397"/>
    <w:rsid w:val="000A7191"/>
    <w:rsid w:val="000B22A7"/>
    <w:rsid w:val="000D617B"/>
    <w:rsid w:val="000F6B40"/>
    <w:rsid w:val="001132FD"/>
    <w:rsid w:val="00127A89"/>
    <w:rsid w:val="00127AD2"/>
    <w:rsid w:val="0014206A"/>
    <w:rsid w:val="00145E4B"/>
    <w:rsid w:val="00156DFC"/>
    <w:rsid w:val="0016315E"/>
    <w:rsid w:val="001671C7"/>
    <w:rsid w:val="00182CF0"/>
    <w:rsid w:val="00184CBC"/>
    <w:rsid w:val="00190097"/>
    <w:rsid w:val="0019529C"/>
    <w:rsid w:val="001B1C77"/>
    <w:rsid w:val="001B3D86"/>
    <w:rsid w:val="001C7960"/>
    <w:rsid w:val="001E1F67"/>
    <w:rsid w:val="001F38B4"/>
    <w:rsid w:val="00200C19"/>
    <w:rsid w:val="00216BDE"/>
    <w:rsid w:val="00220D34"/>
    <w:rsid w:val="0022239C"/>
    <w:rsid w:val="002263B5"/>
    <w:rsid w:val="00256DF3"/>
    <w:rsid w:val="0027104D"/>
    <w:rsid w:val="002726AB"/>
    <w:rsid w:val="00273140"/>
    <w:rsid w:val="00277ADD"/>
    <w:rsid w:val="002813FB"/>
    <w:rsid w:val="002A7A8C"/>
    <w:rsid w:val="002C5D8A"/>
    <w:rsid w:val="002D2D9D"/>
    <w:rsid w:val="002F7CA5"/>
    <w:rsid w:val="003121EE"/>
    <w:rsid w:val="00336ED8"/>
    <w:rsid w:val="00343304"/>
    <w:rsid w:val="00352735"/>
    <w:rsid w:val="00353137"/>
    <w:rsid w:val="00353DD7"/>
    <w:rsid w:val="00361F53"/>
    <w:rsid w:val="00364F1D"/>
    <w:rsid w:val="00370DF3"/>
    <w:rsid w:val="00375FCA"/>
    <w:rsid w:val="003771FD"/>
    <w:rsid w:val="003778C6"/>
    <w:rsid w:val="00384A80"/>
    <w:rsid w:val="00390B15"/>
    <w:rsid w:val="00395351"/>
    <w:rsid w:val="003B179E"/>
    <w:rsid w:val="003B2157"/>
    <w:rsid w:val="003B3D19"/>
    <w:rsid w:val="003B5677"/>
    <w:rsid w:val="003B5DBC"/>
    <w:rsid w:val="003C3A5F"/>
    <w:rsid w:val="003D7268"/>
    <w:rsid w:val="003E39BE"/>
    <w:rsid w:val="003E79A2"/>
    <w:rsid w:val="003F0650"/>
    <w:rsid w:val="003F73BE"/>
    <w:rsid w:val="00411E22"/>
    <w:rsid w:val="00413EB6"/>
    <w:rsid w:val="00414A24"/>
    <w:rsid w:val="00430459"/>
    <w:rsid w:val="004510DE"/>
    <w:rsid w:val="00465E6F"/>
    <w:rsid w:val="00473BEB"/>
    <w:rsid w:val="004A476C"/>
    <w:rsid w:val="004C6067"/>
    <w:rsid w:val="004C725A"/>
    <w:rsid w:val="004D06B5"/>
    <w:rsid w:val="004D0FA4"/>
    <w:rsid w:val="004D16DF"/>
    <w:rsid w:val="004D7627"/>
    <w:rsid w:val="004E462E"/>
    <w:rsid w:val="004E547A"/>
    <w:rsid w:val="005002AE"/>
    <w:rsid w:val="0053246A"/>
    <w:rsid w:val="00541144"/>
    <w:rsid w:val="00541A16"/>
    <w:rsid w:val="00542B40"/>
    <w:rsid w:val="00552F62"/>
    <w:rsid w:val="00553642"/>
    <w:rsid w:val="00570D40"/>
    <w:rsid w:val="00581381"/>
    <w:rsid w:val="005821CC"/>
    <w:rsid w:val="00582DF2"/>
    <w:rsid w:val="00586C69"/>
    <w:rsid w:val="00594A54"/>
    <w:rsid w:val="005A39DB"/>
    <w:rsid w:val="005B6A9E"/>
    <w:rsid w:val="005B792A"/>
    <w:rsid w:val="005D64D7"/>
    <w:rsid w:val="00600D71"/>
    <w:rsid w:val="00606998"/>
    <w:rsid w:val="00612072"/>
    <w:rsid w:val="00616E0D"/>
    <w:rsid w:val="00665ACE"/>
    <w:rsid w:val="00686208"/>
    <w:rsid w:val="006D3899"/>
    <w:rsid w:val="006D3FAD"/>
    <w:rsid w:val="006D506B"/>
    <w:rsid w:val="006E2598"/>
    <w:rsid w:val="006F4E1A"/>
    <w:rsid w:val="007206A6"/>
    <w:rsid w:val="00724C94"/>
    <w:rsid w:val="007271E9"/>
    <w:rsid w:val="007338BF"/>
    <w:rsid w:val="00735171"/>
    <w:rsid w:val="00740CC4"/>
    <w:rsid w:val="0076695A"/>
    <w:rsid w:val="0076727D"/>
    <w:rsid w:val="00772455"/>
    <w:rsid w:val="007A2A32"/>
    <w:rsid w:val="007A5D38"/>
    <w:rsid w:val="007B256C"/>
    <w:rsid w:val="007B686E"/>
    <w:rsid w:val="007B794A"/>
    <w:rsid w:val="007C48B1"/>
    <w:rsid w:val="007D6FC9"/>
    <w:rsid w:val="007E11A6"/>
    <w:rsid w:val="007E1504"/>
    <w:rsid w:val="007F409D"/>
    <w:rsid w:val="008036A6"/>
    <w:rsid w:val="00804326"/>
    <w:rsid w:val="008143C7"/>
    <w:rsid w:val="00816009"/>
    <w:rsid w:val="00817C21"/>
    <w:rsid w:val="00833AF6"/>
    <w:rsid w:val="00834D25"/>
    <w:rsid w:val="00844CFD"/>
    <w:rsid w:val="00846AC5"/>
    <w:rsid w:val="008525AC"/>
    <w:rsid w:val="0087298F"/>
    <w:rsid w:val="0088101E"/>
    <w:rsid w:val="008838DA"/>
    <w:rsid w:val="00886814"/>
    <w:rsid w:val="008931B0"/>
    <w:rsid w:val="00893BB2"/>
    <w:rsid w:val="00894C36"/>
    <w:rsid w:val="008A2C11"/>
    <w:rsid w:val="008A4057"/>
    <w:rsid w:val="008A7146"/>
    <w:rsid w:val="008B41A3"/>
    <w:rsid w:val="008B4726"/>
    <w:rsid w:val="008B746F"/>
    <w:rsid w:val="008C1F29"/>
    <w:rsid w:val="008D3B03"/>
    <w:rsid w:val="008F086D"/>
    <w:rsid w:val="008F478A"/>
    <w:rsid w:val="0093788B"/>
    <w:rsid w:val="009416BA"/>
    <w:rsid w:val="009439D3"/>
    <w:rsid w:val="009728FC"/>
    <w:rsid w:val="00973F0A"/>
    <w:rsid w:val="0097610C"/>
    <w:rsid w:val="00983B8A"/>
    <w:rsid w:val="009A2584"/>
    <w:rsid w:val="009A42A4"/>
    <w:rsid w:val="009A6E88"/>
    <w:rsid w:val="009B3624"/>
    <w:rsid w:val="009C3FB9"/>
    <w:rsid w:val="00A0020B"/>
    <w:rsid w:val="00A149CB"/>
    <w:rsid w:val="00A27B34"/>
    <w:rsid w:val="00A3634E"/>
    <w:rsid w:val="00A54BC7"/>
    <w:rsid w:val="00A552F9"/>
    <w:rsid w:val="00A71F49"/>
    <w:rsid w:val="00A8141A"/>
    <w:rsid w:val="00A95F93"/>
    <w:rsid w:val="00A9656C"/>
    <w:rsid w:val="00AA20BE"/>
    <w:rsid w:val="00AA2A33"/>
    <w:rsid w:val="00AA4F36"/>
    <w:rsid w:val="00AE2E7E"/>
    <w:rsid w:val="00AE646D"/>
    <w:rsid w:val="00AE7195"/>
    <w:rsid w:val="00AF2EBD"/>
    <w:rsid w:val="00B032BE"/>
    <w:rsid w:val="00B20BCF"/>
    <w:rsid w:val="00B41D66"/>
    <w:rsid w:val="00B42F3A"/>
    <w:rsid w:val="00B47AD8"/>
    <w:rsid w:val="00B51616"/>
    <w:rsid w:val="00B6117F"/>
    <w:rsid w:val="00B97F28"/>
    <w:rsid w:val="00BA35D1"/>
    <w:rsid w:val="00BB2F5D"/>
    <w:rsid w:val="00BC3ABB"/>
    <w:rsid w:val="00BD49AB"/>
    <w:rsid w:val="00BD5B48"/>
    <w:rsid w:val="00BE0CDF"/>
    <w:rsid w:val="00BF17AA"/>
    <w:rsid w:val="00BF61A9"/>
    <w:rsid w:val="00C034A8"/>
    <w:rsid w:val="00C06F85"/>
    <w:rsid w:val="00C173D1"/>
    <w:rsid w:val="00C257D9"/>
    <w:rsid w:val="00C401E0"/>
    <w:rsid w:val="00C40A1F"/>
    <w:rsid w:val="00C87936"/>
    <w:rsid w:val="00C96EB2"/>
    <w:rsid w:val="00CA25C7"/>
    <w:rsid w:val="00CA397B"/>
    <w:rsid w:val="00CB2AB0"/>
    <w:rsid w:val="00CB364E"/>
    <w:rsid w:val="00CB4C7C"/>
    <w:rsid w:val="00CC6531"/>
    <w:rsid w:val="00CD026D"/>
    <w:rsid w:val="00CD24A8"/>
    <w:rsid w:val="00CD6EFC"/>
    <w:rsid w:val="00CE1363"/>
    <w:rsid w:val="00CE784B"/>
    <w:rsid w:val="00CF561F"/>
    <w:rsid w:val="00CF594B"/>
    <w:rsid w:val="00D0718F"/>
    <w:rsid w:val="00D15870"/>
    <w:rsid w:val="00D21FFE"/>
    <w:rsid w:val="00D246D7"/>
    <w:rsid w:val="00D351CC"/>
    <w:rsid w:val="00D37499"/>
    <w:rsid w:val="00D55C90"/>
    <w:rsid w:val="00D571F6"/>
    <w:rsid w:val="00D678F1"/>
    <w:rsid w:val="00D86D65"/>
    <w:rsid w:val="00D87BE2"/>
    <w:rsid w:val="00D95FDB"/>
    <w:rsid w:val="00DA7931"/>
    <w:rsid w:val="00DB12A9"/>
    <w:rsid w:val="00DB183E"/>
    <w:rsid w:val="00DC1743"/>
    <w:rsid w:val="00DC5398"/>
    <w:rsid w:val="00DD2E9D"/>
    <w:rsid w:val="00DD4FA2"/>
    <w:rsid w:val="00DE1EBA"/>
    <w:rsid w:val="00DF2AC9"/>
    <w:rsid w:val="00E01507"/>
    <w:rsid w:val="00E03F51"/>
    <w:rsid w:val="00E21ACE"/>
    <w:rsid w:val="00E31075"/>
    <w:rsid w:val="00E47FFC"/>
    <w:rsid w:val="00E67599"/>
    <w:rsid w:val="00E71AE8"/>
    <w:rsid w:val="00E728DB"/>
    <w:rsid w:val="00E9135B"/>
    <w:rsid w:val="00E9237C"/>
    <w:rsid w:val="00E96BCE"/>
    <w:rsid w:val="00EB3C42"/>
    <w:rsid w:val="00EB4788"/>
    <w:rsid w:val="00ED534B"/>
    <w:rsid w:val="00EF6955"/>
    <w:rsid w:val="00F01DD5"/>
    <w:rsid w:val="00F02FAD"/>
    <w:rsid w:val="00F055EF"/>
    <w:rsid w:val="00F238B9"/>
    <w:rsid w:val="00F40DDD"/>
    <w:rsid w:val="00F52C25"/>
    <w:rsid w:val="00F560A0"/>
    <w:rsid w:val="00F67DE8"/>
    <w:rsid w:val="00F84E11"/>
    <w:rsid w:val="00F93CE5"/>
    <w:rsid w:val="00FA5C81"/>
    <w:rsid w:val="00FC6ABB"/>
    <w:rsid w:val="00FD13A1"/>
    <w:rsid w:val="00FF3CB3"/>
    <w:rsid w:val="00FF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382E48B"/>
  <w15:docId w15:val="{9C40410A-8769-42B4-A746-6F6D1132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0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0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2AE"/>
  </w:style>
  <w:style w:type="paragraph" w:styleId="Footer">
    <w:name w:val="footer"/>
    <w:basedOn w:val="Normal"/>
    <w:link w:val="FooterChar"/>
    <w:uiPriority w:val="99"/>
    <w:unhideWhenUsed/>
    <w:rsid w:val="00500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2AE"/>
  </w:style>
  <w:style w:type="paragraph" w:styleId="BalloonText">
    <w:name w:val="Balloon Text"/>
    <w:basedOn w:val="Normal"/>
    <w:link w:val="BalloonTextChar"/>
    <w:uiPriority w:val="99"/>
    <w:semiHidden/>
    <w:unhideWhenUsed/>
    <w:rsid w:val="00500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2AE"/>
    <w:rPr>
      <w:rFonts w:ascii="Tahoma" w:hAnsi="Tahoma" w:cs="Tahoma"/>
      <w:sz w:val="16"/>
      <w:szCs w:val="16"/>
    </w:rPr>
  </w:style>
  <w:style w:type="character" w:styleId="CommentReference">
    <w:name w:val="annotation reference"/>
    <w:basedOn w:val="DefaultParagraphFont"/>
    <w:uiPriority w:val="99"/>
    <w:semiHidden/>
    <w:unhideWhenUsed/>
    <w:rsid w:val="006D3FAD"/>
    <w:rPr>
      <w:sz w:val="16"/>
      <w:szCs w:val="16"/>
    </w:rPr>
  </w:style>
  <w:style w:type="paragraph" w:styleId="CommentText">
    <w:name w:val="annotation text"/>
    <w:basedOn w:val="Normal"/>
    <w:link w:val="CommentTextChar"/>
    <w:uiPriority w:val="99"/>
    <w:unhideWhenUsed/>
    <w:rsid w:val="006D3FAD"/>
    <w:pPr>
      <w:spacing w:line="240" w:lineRule="auto"/>
    </w:pPr>
    <w:rPr>
      <w:sz w:val="20"/>
      <w:szCs w:val="20"/>
    </w:rPr>
  </w:style>
  <w:style w:type="character" w:customStyle="1" w:styleId="CommentTextChar">
    <w:name w:val="Comment Text Char"/>
    <w:basedOn w:val="DefaultParagraphFont"/>
    <w:link w:val="CommentText"/>
    <w:uiPriority w:val="99"/>
    <w:rsid w:val="006D3FAD"/>
    <w:rPr>
      <w:sz w:val="20"/>
      <w:szCs w:val="20"/>
    </w:rPr>
  </w:style>
  <w:style w:type="paragraph" w:styleId="CommentSubject">
    <w:name w:val="annotation subject"/>
    <w:basedOn w:val="CommentText"/>
    <w:next w:val="CommentText"/>
    <w:link w:val="CommentSubjectChar"/>
    <w:uiPriority w:val="99"/>
    <w:semiHidden/>
    <w:unhideWhenUsed/>
    <w:rsid w:val="006D3FAD"/>
    <w:rPr>
      <w:b/>
      <w:bCs/>
    </w:rPr>
  </w:style>
  <w:style w:type="character" w:customStyle="1" w:styleId="CommentSubjectChar">
    <w:name w:val="Comment Subject Char"/>
    <w:basedOn w:val="CommentTextChar"/>
    <w:link w:val="CommentSubject"/>
    <w:uiPriority w:val="99"/>
    <w:semiHidden/>
    <w:rsid w:val="006D3FAD"/>
    <w:rPr>
      <w:b/>
      <w:bCs/>
      <w:sz w:val="20"/>
      <w:szCs w:val="20"/>
    </w:rPr>
  </w:style>
  <w:style w:type="paragraph" w:styleId="Revision">
    <w:name w:val="Revision"/>
    <w:hidden/>
    <w:uiPriority w:val="99"/>
    <w:semiHidden/>
    <w:rsid w:val="008729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5890">
      <w:bodyDiv w:val="1"/>
      <w:marLeft w:val="0"/>
      <w:marRight w:val="0"/>
      <w:marTop w:val="0"/>
      <w:marBottom w:val="0"/>
      <w:divBdr>
        <w:top w:val="none" w:sz="0" w:space="0" w:color="auto"/>
        <w:left w:val="none" w:sz="0" w:space="0" w:color="auto"/>
        <w:bottom w:val="none" w:sz="0" w:space="0" w:color="auto"/>
        <w:right w:val="none" w:sz="0" w:space="0" w:color="auto"/>
      </w:divBdr>
    </w:div>
    <w:div w:id="97775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457E1-4A3D-4287-98E8-C0A4CB39D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Anaheim</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Anaheim</dc:creator>
  <cp:lastModifiedBy>Sarah Bartczak</cp:lastModifiedBy>
  <cp:revision>6</cp:revision>
  <cp:lastPrinted>2024-10-01T21:57:00Z</cp:lastPrinted>
  <dcterms:created xsi:type="dcterms:W3CDTF">2024-10-03T18:47:00Z</dcterms:created>
  <dcterms:modified xsi:type="dcterms:W3CDTF">2024-10-09T17:01:00Z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f5829c7c-7a0c-4a4a-8b0e-666a58a527be</vt:lpwstr>
  </property>
  <property fmtid="{D5CDD505-2E9C-101B-9397-08002B2CF9AE}" pid="3" name="VersionID">
    <vt:lpwstr>a9c027ff-81a8-4acf-8d62-bc44b33c8fcd</vt:lpwstr>
  </property>
  <property fmtid="{D5CDD505-2E9C-101B-9397-08002B2CF9AE}" pid="4" name="ParentVersionID">
    <vt:lpwstr>8af54cae-5ebb-42fe-8efc-5e769a1120d7</vt:lpwstr>
  </property>
</Properties>
</file>